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94424E" w:rsidP="00D44968">
            <w:pPr>
              <w:suppressLineNumbers/>
              <w:jc w:val="both"/>
              <w:rPr>
                <w:rFonts w:ascii="Arial" w:hAnsi="Arial"/>
                <w:b/>
                <w:bCs/>
                <w:sz w:val="26"/>
                <w:szCs w:val="26"/>
                <w:rtl/>
              </w:rPr>
            </w:pPr>
            <w:r w:rsidRPr="00DD05A8">
              <w:rPr>
                <w:rFonts w:ascii="Arial" w:hAnsi="Arial" w:hint="cs"/>
                <w:b/>
                <w:bCs/>
                <w:sz w:val="26"/>
                <w:szCs w:val="26"/>
                <w:rtl/>
              </w:rPr>
              <w:t>ב</w:t>
            </w:r>
            <w:r w:rsidRPr="00DD05A8">
              <w:rPr>
                <w:rFonts w:ascii="Arial" w:hAnsi="Arial"/>
                <w:b/>
                <w:bCs/>
                <w:sz w:val="26"/>
                <w:szCs w:val="26"/>
                <w:rtl/>
              </w:rPr>
              <w:t xml:space="preserve">פני </w:t>
            </w:r>
          </w:p>
        </w:tc>
        <w:tc>
          <w:tcPr>
            <w:tcW w:w="8077"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מוטי כהן</w:t>
                </w:r>
              </w:sdtContent>
            </w:sdt>
          </w:p>
          <w:p w:rsidR="0094424E" w:rsidRPr="00DD05A8" w:rsidRDefault="0094424E" w:rsidP="00D44968">
            <w:pPr>
              <w:suppressLineNumbers/>
              <w:rPr>
                <w:rFonts w:ascii="Arial" w:hAnsi="Arial" w:cs="FrankRuehl"/>
                <w:sz w:val="26"/>
                <w:szCs w:val="26"/>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4C773B" w:rsidRDefault="003144CF" w:rsidP="00F87D79">
                <w:pPr>
                  <w:suppressLineNumbers/>
                  <w:rPr>
                    <w:rFonts w:ascii="Arial" w:hAnsi="Arial"/>
                    <w:b/>
                    <w:bCs/>
                    <w:noProof w:val="0"/>
                    <w:sz w:val="26"/>
                    <w:szCs w:val="26"/>
                    <w:rtl/>
                  </w:rPr>
                </w:pPr>
                <w:r>
                  <w:rPr>
                    <w:rFonts w:ascii="Arial" w:hAnsi="Arial"/>
                    <w:b/>
                    <w:bCs/>
                    <w:noProof w:val="0"/>
                    <w:sz w:val="26"/>
                    <w:szCs w:val="26"/>
                    <w:rtl/>
                  </w:rPr>
                  <w:t>תובע</w:t>
                </w:r>
              </w:p>
            </w:sdtContent>
          </w:sdt>
        </w:tc>
        <w:tc>
          <w:tcPr>
            <w:tcW w:w="5571" w:type="dxa"/>
          </w:tcPr>
          <w:p w:rsidR="0094424E" w:rsidRDefault="0094424E" w:rsidP="00D44968">
            <w:pPr>
              <w:suppressLineNumbers/>
              <w:rPr>
                <w:rFonts w:ascii="Arial" w:hAnsi="Arial"/>
                <w:b/>
                <w:bCs/>
                <w:noProof w:val="0"/>
                <w:sz w:val="26"/>
                <w:szCs w:val="26"/>
                <w:rtl/>
              </w:rPr>
            </w:pPr>
          </w:p>
          <w:p w:rsidR="0094424E" w:rsidRDefault="007C2453" w:rsidP="00F87D79">
            <w:pPr>
              <w:suppressLineNumbers/>
              <w:rPr>
                <w:b/>
                <w:bCs/>
                <w:noProof w:val="0"/>
                <w:sz w:val="26"/>
                <w:szCs w:val="26"/>
              </w:rPr>
            </w:pPr>
            <w:r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1398553265"/>
                <w:placeholder>
                  <w:docPart w:val="7D8E46D2581B4CD9ACC623ACA7D52F75"/>
                </w:placeholder>
                <w:text w:multiLine="1"/>
              </w:sdtPr>
              <w:sdtEndPr/>
              <w:sdtContent>
                <w:r w:rsidR="00F87D79">
                  <w:rPr>
                    <w:rFonts w:ascii="Arial" w:hAnsi="Arial" w:hint="cs"/>
                    <w:b/>
                    <w:bCs/>
                    <w:noProof w:val="0"/>
                    <w:sz w:val="26"/>
                    <w:szCs w:val="26"/>
                    <w:rtl/>
                  </w:rPr>
                  <w:t xml:space="preserve">             </w:t>
                </w:r>
                <w:r w:rsidR="00B859C5">
                  <w:rPr>
                    <w:rFonts w:ascii="Arial" w:hAnsi="Arial" w:hint="eastAsia"/>
                    <w:b/>
                    <w:bCs/>
                    <w:noProof w:val="0"/>
                    <w:sz w:val="26"/>
                    <w:szCs w:val="26"/>
                    <w:rtl/>
                  </w:rPr>
                  <w:t>פלוני</w:t>
                </w:r>
              </w:sdtContent>
            </w:sdt>
            <w:r w:rsidR="00B859C5">
              <w:rPr>
                <w:rFonts w:hint="cs"/>
                <w:rtl/>
              </w:rPr>
              <w:t xml:space="preserve"> </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9E461A">
        <w:trPr>
          <w:jc w:val="center"/>
        </w:trPr>
        <w:tc>
          <w:tcPr>
            <w:tcW w:w="3249" w:type="dxa"/>
            <w:gridSpan w:val="2"/>
          </w:tcPr>
          <w:p w:rsidR="0094424E" w:rsidRDefault="00DD1479" w:rsidP="00F87D79">
            <w:pPr>
              <w:suppressLineNumbers/>
              <w:rPr>
                <w:rFonts w:ascii="Arial" w:hAnsi="Arial"/>
                <w:b/>
                <w:bCs/>
                <w:noProof w:val="0"/>
                <w:sz w:val="26"/>
                <w:szCs w:val="26"/>
              </w:rPr>
            </w:pPr>
            <w:sdt>
              <w:sdtPr>
                <w:rPr>
                  <w:rtl/>
                </w:rPr>
                <w:alias w:val="1184"/>
                <w:tag w:val="1184"/>
                <w:id w:val="-340621022"/>
                <w:text w:multiLine="1"/>
              </w:sdtPr>
              <w:sdtEndPr/>
              <w:sdtContent>
                <w:r w:rsidR="00B859C5">
                  <w:rPr>
                    <w:rFonts w:ascii="Arial" w:hAnsi="Arial"/>
                    <w:b/>
                    <w:bCs/>
                    <w:noProof w:val="0"/>
                    <w:sz w:val="26"/>
                    <w:szCs w:val="26"/>
                    <w:rtl/>
                  </w:rPr>
                  <w:t>נתבע</w:t>
                </w:r>
                <w:r w:rsidR="00F87D79">
                  <w:rPr>
                    <w:rFonts w:ascii="Arial" w:hAnsi="Arial" w:hint="cs"/>
                    <w:b/>
                    <w:bCs/>
                    <w:noProof w:val="0"/>
                    <w:sz w:val="26"/>
                    <w:szCs w:val="26"/>
                    <w:rtl/>
                  </w:rPr>
                  <w:t>ת</w:t>
                </w:r>
              </w:sdtContent>
            </w:sdt>
          </w:p>
        </w:tc>
        <w:tc>
          <w:tcPr>
            <w:tcW w:w="5571" w:type="dxa"/>
          </w:tcPr>
          <w:p w:rsidR="00CF6BB7" w:rsidRPr="009E461A" w:rsidRDefault="007C2453" w:rsidP="00F87D79">
            <w:pPr>
              <w:suppressLineNumbers/>
              <w:rPr>
                <w:rtl/>
              </w:rPr>
            </w:pPr>
            <w:r>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920052440"/>
                <w:placeholder>
                  <w:docPart w:val="C3B0FBA23B684176B12DDEEA2C39785F"/>
                </w:placeholder>
                <w:text w:multiLine="1"/>
              </w:sdtPr>
              <w:sdtEndPr/>
              <w:sdtContent>
                <w:r w:rsidR="00B859C5">
                  <w:rPr>
                    <w:rFonts w:ascii="Arial" w:hAnsi="Arial" w:hint="eastAsia"/>
                    <w:b/>
                    <w:bCs/>
                    <w:noProof w:val="0"/>
                    <w:sz w:val="26"/>
                    <w:szCs w:val="26"/>
                    <w:rtl/>
                  </w:rPr>
                  <w:t>איילון חברה לביטוח בע"מ</w:t>
                </w:r>
              </w:sdtContent>
            </w:sdt>
            <w:r w:rsidR="00B859C5">
              <w:rPr>
                <w:rFonts w:hint="cs"/>
                <w:rtl/>
              </w:rPr>
              <w:t xml:space="preserve"> </w:t>
            </w:r>
          </w:p>
        </w:tc>
      </w:tr>
      <w:tr w:rsidR="00CF6BB7" w:rsidTr="00280865">
        <w:trPr>
          <w:jc w:val="center"/>
        </w:trPr>
        <w:tc>
          <w:tcPr>
            <w:tcW w:w="8820" w:type="dxa"/>
            <w:gridSpan w:val="3"/>
          </w:tcPr>
          <w:p w:rsidR="00CF6BB7" w:rsidRPr="00C84831" w:rsidRDefault="00CF6BB7" w:rsidP="00D44968">
            <w:pPr>
              <w:suppressLineNumbers/>
              <w:rPr>
                <w:rtl/>
              </w:rPr>
            </w:pPr>
          </w:p>
        </w:tc>
      </w:tr>
      <w:tr w:rsidR="00CF6BB7">
        <w:trPr>
          <w:jc w:val="center"/>
        </w:trPr>
        <w:tc>
          <w:tcPr>
            <w:tcW w:w="3249" w:type="dxa"/>
            <w:gridSpan w:val="2"/>
          </w:tcPr>
          <w:p w:rsidR="00A46717" w:rsidRPr="00272E32" w:rsidRDefault="00A46717" w:rsidP="00A46717">
            <w:pPr>
              <w:rPr>
                <w:rFonts w:ascii="Arial" w:hAnsi="Arial"/>
                <w:b/>
                <w:bCs/>
                <w:noProof w:val="0"/>
                <w:sz w:val="26"/>
                <w:szCs w:val="26"/>
              </w:rPr>
            </w:pPr>
          </w:p>
        </w:tc>
        <w:tc>
          <w:tcPr>
            <w:tcW w:w="5571" w:type="dxa"/>
          </w:tcPr>
          <w:p w:rsidR="00A46717" w:rsidRPr="007C2453" w:rsidRDefault="00A46717" w:rsidP="00A46717">
            <w:pPr>
              <w:rPr>
                <w:rFonts w:ascii="Arial" w:hAnsi="Arial"/>
                <w:b/>
                <w:bCs/>
                <w:noProof w:val="0"/>
                <w:sz w:val="26"/>
                <w:szCs w:val="26"/>
              </w:rPr>
            </w:pPr>
          </w:p>
        </w:tc>
      </w:tr>
      <w:tr w:rsidR="004C17EE" w:rsidTr="00D620FD">
        <w:trPr>
          <w:jc w:val="center"/>
        </w:trPr>
        <w:tc>
          <w:tcPr>
            <w:tcW w:w="8820" w:type="dxa"/>
            <w:gridSpan w:val="3"/>
          </w:tcPr>
          <w:p w:rsidR="004C773B" w:rsidRDefault="004C773B">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3E38C7">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F87D79" w:rsidRDefault="00F87D79" w:rsidP="00F87D79">
      <w:pPr>
        <w:spacing w:after="160" w:line="360" w:lineRule="auto"/>
        <w:jc w:val="both"/>
        <w:rPr>
          <w:rFonts w:ascii="David" w:hAnsi="David"/>
          <w:noProof w:val="0"/>
          <w:u w:val="single"/>
        </w:rPr>
      </w:pPr>
      <w:bookmarkStart w:id="0" w:name="NGCSBookmark"/>
      <w:bookmarkEnd w:id="0"/>
      <w:r>
        <w:rPr>
          <w:rFonts w:ascii="David" w:hAnsi="David"/>
          <w:noProof w:val="0"/>
          <w:rtl/>
        </w:rPr>
        <w:t>לפני תביעה כספית לתשלום תגמולי ביטוח בסך 87,840 ₪, מכוח פוליסת ביטוח תאונות אישיות תלמידים שהנפיקה הנתבעת (להלן: "</w:t>
      </w:r>
      <w:r>
        <w:rPr>
          <w:rFonts w:ascii="David" w:hAnsi="David"/>
          <w:b/>
          <w:bCs/>
          <w:noProof w:val="0"/>
          <w:rtl/>
        </w:rPr>
        <w:t>הפוליסה</w:t>
      </w:r>
      <w:r>
        <w:rPr>
          <w:rFonts w:ascii="David" w:hAnsi="David"/>
          <w:noProof w:val="0"/>
          <w:rtl/>
        </w:rPr>
        <w:t xml:space="preserve">"). </w:t>
      </w:r>
    </w:p>
    <w:p w:rsidR="00F87D79" w:rsidRDefault="00F87D79" w:rsidP="00F87D79">
      <w:pPr>
        <w:spacing w:after="160" w:line="360" w:lineRule="auto"/>
        <w:jc w:val="both"/>
        <w:rPr>
          <w:rFonts w:ascii="David" w:hAnsi="David"/>
          <w:b/>
          <w:bCs/>
          <w:noProof w:val="0"/>
          <w:u w:val="single"/>
        </w:rPr>
      </w:pPr>
      <w:r>
        <w:rPr>
          <w:rFonts w:ascii="David" w:hAnsi="David"/>
          <w:b/>
          <w:bCs/>
          <w:noProof w:val="0"/>
          <w:u w:val="single"/>
          <w:rtl/>
        </w:rPr>
        <w:t>טענות הצדדים בתמצית</w:t>
      </w:r>
    </w:p>
    <w:p w:rsidR="00F87D79" w:rsidRDefault="00F87D79" w:rsidP="00F87D79">
      <w:pPr>
        <w:spacing w:after="160" w:line="360" w:lineRule="auto"/>
        <w:jc w:val="both"/>
        <w:rPr>
          <w:rFonts w:ascii="David" w:hAnsi="David"/>
          <w:noProof w:val="0"/>
          <w:u w:val="single"/>
        </w:rPr>
      </w:pPr>
      <w:r>
        <w:rPr>
          <w:rFonts w:ascii="David" w:hAnsi="David"/>
          <w:b/>
          <w:bCs/>
          <w:noProof w:val="0"/>
          <w:u w:val="single"/>
          <w:rtl/>
        </w:rPr>
        <w:t>טענות התובע</w:t>
      </w:r>
    </w:p>
    <w:p w:rsidR="00F87D79" w:rsidRDefault="00F87D79" w:rsidP="00F87D79">
      <w:pPr>
        <w:numPr>
          <w:ilvl w:val="0"/>
          <w:numId w:val="1"/>
        </w:numPr>
        <w:spacing w:after="160" w:line="360" w:lineRule="auto"/>
        <w:ind w:left="340"/>
        <w:contextualSpacing/>
        <w:jc w:val="both"/>
        <w:rPr>
          <w:rFonts w:ascii="David" w:hAnsi="David"/>
          <w:noProof w:val="0"/>
          <w:rtl/>
        </w:rPr>
      </w:pPr>
      <w:r>
        <w:rPr>
          <w:rFonts w:ascii="David" w:hAnsi="David"/>
          <w:noProof w:val="0"/>
          <w:rtl/>
        </w:rPr>
        <w:t>התובע קטין יליד שנת 2014, תלמיד בבית ספר יסודי אלזהראא בעראבה</w:t>
      </w:r>
      <w:r>
        <w:rPr>
          <w:rFonts w:ascii="David" w:hAnsi="David" w:hint="cs"/>
          <w:noProof w:val="0"/>
          <w:rtl/>
        </w:rPr>
        <w:t xml:space="preserve"> (להלן: "</w:t>
      </w:r>
      <w:r w:rsidRPr="00F87D79">
        <w:rPr>
          <w:rFonts w:ascii="David" w:hAnsi="David" w:hint="cs"/>
          <w:b/>
          <w:bCs/>
          <w:noProof w:val="0"/>
          <w:rtl/>
        </w:rPr>
        <w:t>בית הספר</w:t>
      </w:r>
      <w:r>
        <w:rPr>
          <w:rFonts w:ascii="David" w:hAnsi="David" w:hint="cs"/>
          <w:noProof w:val="0"/>
          <w:rtl/>
        </w:rPr>
        <w:t>")</w:t>
      </w:r>
      <w:r>
        <w:rPr>
          <w:rFonts w:ascii="David" w:hAnsi="David"/>
          <w:noProof w:val="0"/>
          <w:rtl/>
        </w:rPr>
        <w:t>.</w:t>
      </w:r>
    </w:p>
    <w:p w:rsidR="00F87D79" w:rsidRDefault="00F87D79" w:rsidP="00F87D79">
      <w:pPr>
        <w:numPr>
          <w:ilvl w:val="0"/>
          <w:numId w:val="1"/>
        </w:numPr>
        <w:spacing w:after="160" w:line="360" w:lineRule="auto"/>
        <w:ind w:left="340"/>
        <w:contextualSpacing/>
        <w:jc w:val="both"/>
        <w:rPr>
          <w:rFonts w:ascii="David" w:hAnsi="David"/>
          <w:noProof w:val="0"/>
        </w:rPr>
      </w:pPr>
      <w:r>
        <w:rPr>
          <w:rFonts w:ascii="David" w:hAnsi="David"/>
          <w:noProof w:val="0"/>
          <w:rtl/>
        </w:rPr>
        <w:t>ביום 16.05.21 בשעות הערב, נחבל התובע לאחר שנתקל במהמורה ונפל בכביש "אלדורה" בעראבה (להלן: "</w:t>
      </w:r>
      <w:r>
        <w:rPr>
          <w:rFonts w:ascii="David" w:hAnsi="David"/>
          <w:b/>
          <w:bCs/>
          <w:noProof w:val="0"/>
          <w:rtl/>
        </w:rPr>
        <w:t>התאונה</w:t>
      </w:r>
      <w:r>
        <w:rPr>
          <w:rFonts w:ascii="David" w:hAnsi="David"/>
          <w:noProof w:val="0"/>
          <w:rtl/>
        </w:rPr>
        <w:t>").</w:t>
      </w:r>
    </w:p>
    <w:p w:rsidR="00F87D79" w:rsidRDefault="00F87D79" w:rsidP="00F87D79">
      <w:pPr>
        <w:numPr>
          <w:ilvl w:val="0"/>
          <w:numId w:val="1"/>
        </w:numPr>
        <w:spacing w:after="160" w:line="360" w:lineRule="auto"/>
        <w:ind w:left="340"/>
        <w:contextualSpacing/>
        <w:jc w:val="both"/>
        <w:rPr>
          <w:rFonts w:ascii="David" w:hAnsi="David"/>
          <w:noProof w:val="0"/>
          <w:rtl/>
        </w:rPr>
      </w:pPr>
      <w:r>
        <w:rPr>
          <w:rFonts w:ascii="David" w:hAnsi="David"/>
          <w:noProof w:val="0"/>
          <w:rtl/>
        </w:rPr>
        <w:t>לאחר התאונה הובהל התובע לקבלת טיפול רפואי במרכז הרפואי "רים" בעראבה, ומשם הופנה למרכז הרפואי "פוריה" שבטבריה.</w:t>
      </w:r>
    </w:p>
    <w:p w:rsidR="00F87D79" w:rsidRDefault="00F87D79" w:rsidP="00F87D79">
      <w:pPr>
        <w:numPr>
          <w:ilvl w:val="0"/>
          <w:numId w:val="1"/>
        </w:numPr>
        <w:spacing w:after="160" w:line="360" w:lineRule="auto"/>
        <w:ind w:left="340"/>
        <w:contextualSpacing/>
        <w:jc w:val="both"/>
        <w:rPr>
          <w:rFonts w:ascii="David" w:hAnsi="David"/>
          <w:noProof w:val="0"/>
        </w:rPr>
      </w:pPr>
      <w:r>
        <w:rPr>
          <w:rFonts w:ascii="David" w:hAnsi="David"/>
          <w:noProof w:val="0"/>
          <w:rtl/>
        </w:rPr>
        <w:t>התובע אובחן כסובל משבר לטראל כונדיל הומרוס שמאל עם תזוזה מלאה. עקב כך, אושפז התובע למן יום 16.05.21 ועד ליום 20.05.21</w:t>
      </w:r>
      <w:r>
        <w:rPr>
          <w:rFonts w:ascii="David" w:hAnsi="David" w:hint="cs"/>
          <w:noProof w:val="0"/>
          <w:rtl/>
        </w:rPr>
        <w:t>.</w:t>
      </w:r>
    </w:p>
    <w:p w:rsidR="00F87D79" w:rsidRDefault="00F87D79" w:rsidP="00F87D79">
      <w:pPr>
        <w:numPr>
          <w:ilvl w:val="0"/>
          <w:numId w:val="1"/>
        </w:numPr>
        <w:spacing w:after="160" w:line="360" w:lineRule="auto"/>
        <w:ind w:left="340"/>
        <w:contextualSpacing/>
        <w:jc w:val="both"/>
        <w:rPr>
          <w:rFonts w:ascii="David" w:hAnsi="David"/>
          <w:noProof w:val="0"/>
        </w:rPr>
      </w:pPr>
      <w:r>
        <w:rPr>
          <w:rFonts w:ascii="David" w:hAnsi="David"/>
          <w:noProof w:val="0"/>
          <w:rtl/>
        </w:rPr>
        <w:t xml:space="preserve">במהלך האשפוז עבר התובע ניתוח שחזור פתוח וקיבוע פנימי של השבר, וכן הושמה ידו של התובע בסד גבס אחורי. </w:t>
      </w:r>
    </w:p>
    <w:p w:rsidR="00F87D79" w:rsidRDefault="00F87D79" w:rsidP="00F87D79">
      <w:pPr>
        <w:numPr>
          <w:ilvl w:val="0"/>
          <w:numId w:val="1"/>
        </w:numPr>
        <w:spacing w:after="160" w:line="360" w:lineRule="auto"/>
        <w:ind w:left="340"/>
        <w:contextualSpacing/>
        <w:jc w:val="both"/>
        <w:rPr>
          <w:rFonts w:ascii="David" w:hAnsi="David"/>
          <w:noProof w:val="0"/>
        </w:rPr>
      </w:pPr>
      <w:r>
        <w:rPr>
          <w:rFonts w:ascii="David" w:hAnsi="David"/>
          <w:noProof w:val="0"/>
          <w:rtl/>
        </w:rPr>
        <w:t>בעקבות התאונה נותרה לתובע צלקת לטרלית במרפק שמאל, עם בליטה קשיחה במרפק בצד לטרלי.</w:t>
      </w:r>
    </w:p>
    <w:p w:rsidR="00F87D79" w:rsidRDefault="00F87D79" w:rsidP="00F87D79">
      <w:pPr>
        <w:numPr>
          <w:ilvl w:val="0"/>
          <w:numId w:val="1"/>
        </w:numPr>
        <w:spacing w:after="160" w:line="360" w:lineRule="auto"/>
        <w:ind w:left="340"/>
        <w:contextualSpacing/>
        <w:jc w:val="both"/>
        <w:rPr>
          <w:rFonts w:ascii="David" w:hAnsi="David"/>
          <w:noProof w:val="0"/>
        </w:rPr>
      </w:pPr>
      <w:r>
        <w:rPr>
          <w:rFonts w:ascii="David" w:hAnsi="David"/>
          <w:noProof w:val="0"/>
          <w:rtl/>
        </w:rPr>
        <w:t xml:space="preserve">לאחר התאונה, </w:t>
      </w:r>
      <w:bookmarkStart w:id="1" w:name="ABSTRACT_END"/>
      <w:bookmarkEnd w:id="1"/>
      <w:r>
        <w:rPr>
          <w:rFonts w:ascii="David" w:hAnsi="David" w:hint="cs"/>
          <w:noProof w:val="0"/>
          <w:rtl/>
        </w:rPr>
        <w:t>סבל</w:t>
      </w:r>
      <w:r>
        <w:rPr>
          <w:rFonts w:ascii="David" w:hAnsi="David"/>
          <w:noProof w:val="0"/>
          <w:rtl/>
        </w:rPr>
        <w:t xml:space="preserve"> התובע מנכות זמנית והיה בתקופת אי כושר בהתאם להמלצת רופאיו מיום התאונה ועד ליום 30.07.21, סה"כ 75 יום.</w:t>
      </w:r>
    </w:p>
    <w:p w:rsidR="00F87D79" w:rsidRDefault="00F87D79" w:rsidP="00F87D79">
      <w:pPr>
        <w:numPr>
          <w:ilvl w:val="0"/>
          <w:numId w:val="1"/>
        </w:numPr>
        <w:spacing w:after="160" w:line="360" w:lineRule="auto"/>
        <w:ind w:left="340"/>
        <w:contextualSpacing/>
        <w:jc w:val="both"/>
        <w:rPr>
          <w:rFonts w:ascii="David" w:hAnsi="David"/>
          <w:noProof w:val="0"/>
        </w:rPr>
      </w:pPr>
      <w:r>
        <w:rPr>
          <w:rFonts w:ascii="David" w:hAnsi="David"/>
          <w:noProof w:val="0"/>
          <w:rtl/>
        </w:rPr>
        <w:t>בין המועדים 27.07.21 ועד ליום 07.11.21 עבר התובע סדרת טיפולי פיזיוטרפיה.</w:t>
      </w:r>
    </w:p>
    <w:p w:rsidR="00F87D79" w:rsidRDefault="00F87D79" w:rsidP="00F87D79">
      <w:pPr>
        <w:numPr>
          <w:ilvl w:val="0"/>
          <w:numId w:val="1"/>
        </w:numPr>
        <w:spacing w:after="160" w:line="360" w:lineRule="auto"/>
        <w:ind w:left="340"/>
        <w:contextualSpacing/>
        <w:jc w:val="both"/>
        <w:rPr>
          <w:rFonts w:ascii="David" w:hAnsi="David"/>
          <w:noProof w:val="0"/>
        </w:rPr>
      </w:pPr>
      <w:r>
        <w:rPr>
          <w:rFonts w:ascii="David" w:hAnsi="David"/>
          <w:noProof w:val="0"/>
          <w:rtl/>
        </w:rPr>
        <w:t xml:space="preserve">נטען כי עד היום סובל התובע מכאבים והגבלות בתנועת המרפק, ובהתאם לחוות דעת מומחה רפואי מטעמו – ד"ר שאדי סעדיה, נותרה לו נכות צמיתה בשיעור 10% בתחום האורטופדי </w:t>
      </w:r>
      <w:r>
        <w:rPr>
          <w:rFonts w:ascii="David" w:hAnsi="David"/>
          <w:noProof w:val="0"/>
          <w:rtl/>
        </w:rPr>
        <w:lastRenderedPageBreak/>
        <w:t>(סעיף 41(7)</w:t>
      </w:r>
      <w:r>
        <w:rPr>
          <w:rFonts w:ascii="David" w:hAnsi="David"/>
          <w:noProof w:val="0"/>
        </w:rPr>
        <w:t>III</w:t>
      </w:r>
      <w:r>
        <w:rPr>
          <w:rFonts w:ascii="David" w:hAnsi="David"/>
          <w:noProof w:val="0"/>
          <w:rtl/>
        </w:rPr>
        <w:t xml:space="preserve"> לתקנות הביטוח הלאומי (קביעת דרגת נכות לנפגעי עבודה) התשט"ז 1956 (להלן: "</w:t>
      </w:r>
      <w:r>
        <w:rPr>
          <w:rFonts w:ascii="David" w:hAnsi="David"/>
          <w:b/>
          <w:bCs/>
          <w:noProof w:val="0"/>
          <w:rtl/>
        </w:rPr>
        <w:t>התקנות המל"ל</w:t>
      </w:r>
      <w:r>
        <w:rPr>
          <w:rFonts w:ascii="David" w:hAnsi="David"/>
          <w:noProof w:val="0"/>
          <w:rtl/>
        </w:rPr>
        <w:t>"), ובנוסף 10% בתחום הנוירולוגי (סעיף 31(3)א לתקנות המל"ל).</w:t>
      </w:r>
    </w:p>
    <w:p w:rsidR="00F87D79" w:rsidRDefault="00F87D79" w:rsidP="00F87D79">
      <w:pPr>
        <w:numPr>
          <w:ilvl w:val="0"/>
          <w:numId w:val="1"/>
        </w:numPr>
        <w:spacing w:after="160" w:line="360" w:lineRule="auto"/>
        <w:ind w:left="340"/>
        <w:contextualSpacing/>
        <w:jc w:val="both"/>
        <w:rPr>
          <w:rFonts w:ascii="David" w:hAnsi="David"/>
          <w:noProof w:val="0"/>
        </w:rPr>
      </w:pPr>
      <w:r>
        <w:rPr>
          <w:rFonts w:ascii="David" w:hAnsi="David"/>
          <w:noProof w:val="0"/>
          <w:rtl/>
        </w:rPr>
        <w:t>בכתב תביעתו, עתר התובע לחיוב הנתבעת בתשלום רכיבים אלה:</w:t>
      </w:r>
    </w:p>
    <w:p w:rsidR="00F87D79" w:rsidRDefault="00F87D79" w:rsidP="00F87D79">
      <w:pPr>
        <w:pStyle w:val="ad"/>
        <w:spacing w:after="160" w:line="360" w:lineRule="auto"/>
        <w:ind w:left="340"/>
        <w:jc w:val="both"/>
        <w:rPr>
          <w:rFonts w:ascii="David" w:hAnsi="David"/>
          <w:noProof w:val="0"/>
        </w:rPr>
      </w:pPr>
      <w:r>
        <w:rPr>
          <w:rFonts w:ascii="David" w:hAnsi="David"/>
          <w:noProof w:val="0"/>
          <w:rtl/>
        </w:rPr>
        <w:t>10.1.</w:t>
      </w:r>
      <w:r>
        <w:rPr>
          <w:rFonts w:ascii="David" w:hAnsi="David"/>
          <w:b/>
          <w:bCs/>
          <w:noProof w:val="0"/>
          <w:rtl/>
        </w:rPr>
        <w:t xml:space="preserve"> בגין הנכות הצמיתה</w:t>
      </w:r>
      <w:r>
        <w:rPr>
          <w:rFonts w:ascii="David" w:hAnsi="David"/>
          <w:noProof w:val="0"/>
          <w:rtl/>
        </w:rPr>
        <w:t xml:space="preserve"> שנותרה לתובע על פי חוות דעת המומחה מטעמו - סך של 79,000 ₪.</w:t>
      </w:r>
    </w:p>
    <w:p w:rsidR="00F87D79" w:rsidRDefault="00F87D79" w:rsidP="00F87D79">
      <w:pPr>
        <w:pStyle w:val="ad"/>
        <w:spacing w:after="160" w:line="360" w:lineRule="auto"/>
        <w:ind w:left="340"/>
        <w:jc w:val="both"/>
        <w:rPr>
          <w:rFonts w:ascii="David" w:hAnsi="David"/>
          <w:noProof w:val="0"/>
          <w:rtl/>
        </w:rPr>
      </w:pPr>
      <w:r>
        <w:rPr>
          <w:rFonts w:ascii="David" w:hAnsi="David"/>
          <w:noProof w:val="0"/>
          <w:rtl/>
        </w:rPr>
        <w:t>10.2. פיצוי בגין ימי ריתוק (30) בסך 6,270 ₪.</w:t>
      </w:r>
    </w:p>
    <w:p w:rsidR="00F87D79" w:rsidRDefault="00F87D79" w:rsidP="00F87D79">
      <w:pPr>
        <w:pStyle w:val="ad"/>
        <w:spacing w:after="160" w:line="360" w:lineRule="auto"/>
        <w:ind w:left="340"/>
        <w:jc w:val="both"/>
        <w:rPr>
          <w:rFonts w:ascii="David" w:hAnsi="David"/>
          <w:noProof w:val="0"/>
          <w:rtl/>
        </w:rPr>
      </w:pPr>
      <w:r>
        <w:rPr>
          <w:rFonts w:ascii="David" w:hAnsi="David"/>
          <w:noProof w:val="0"/>
          <w:rtl/>
        </w:rPr>
        <w:t>10.3. פיצוי כעבור 5 ימי אשפוז סך של 1,570 ₪.</w:t>
      </w:r>
    </w:p>
    <w:p w:rsidR="00F87D79" w:rsidRDefault="00F87D79" w:rsidP="00F87D79">
      <w:pPr>
        <w:pStyle w:val="ad"/>
        <w:spacing w:after="160" w:line="360" w:lineRule="auto"/>
        <w:ind w:left="340"/>
        <w:jc w:val="both"/>
        <w:rPr>
          <w:rFonts w:ascii="David" w:hAnsi="David"/>
          <w:noProof w:val="0"/>
          <w:rtl/>
        </w:rPr>
      </w:pPr>
      <w:r>
        <w:rPr>
          <w:rFonts w:ascii="David" w:hAnsi="David"/>
          <w:noProof w:val="0"/>
          <w:rtl/>
        </w:rPr>
        <w:t>10.4. הוצאות (מוכחות) בסך של 1,000 ₪.</w:t>
      </w:r>
    </w:p>
    <w:p w:rsidR="00F87D79" w:rsidRDefault="00F87D79" w:rsidP="00F87D79">
      <w:pPr>
        <w:numPr>
          <w:ilvl w:val="0"/>
          <w:numId w:val="1"/>
        </w:numPr>
        <w:spacing w:after="160" w:line="360" w:lineRule="auto"/>
        <w:ind w:left="340"/>
        <w:contextualSpacing/>
        <w:jc w:val="both"/>
        <w:rPr>
          <w:rFonts w:ascii="David" w:hAnsi="David"/>
          <w:noProof w:val="0"/>
          <w:rtl/>
        </w:rPr>
      </w:pPr>
      <w:r>
        <w:rPr>
          <w:rFonts w:ascii="David" w:hAnsi="David"/>
          <w:noProof w:val="0"/>
          <w:rtl/>
        </w:rPr>
        <w:t xml:space="preserve">בהמשך, </w:t>
      </w:r>
      <w:r w:rsidRPr="00F87D79">
        <w:rPr>
          <w:rFonts w:ascii="David" w:hAnsi="David"/>
          <w:b/>
          <w:bCs/>
          <w:noProof w:val="0"/>
          <w:rtl/>
        </w:rPr>
        <w:t>במסגרת סיכומיו</w:t>
      </w:r>
      <w:r>
        <w:rPr>
          <w:rFonts w:ascii="David" w:hAnsi="David"/>
          <w:noProof w:val="0"/>
          <w:rtl/>
        </w:rPr>
        <w:t xml:space="preserve">, עתר התובע לתשלום פיצוי בגין נכות זמנית בסך של 11,715 ₪ בגין </w:t>
      </w:r>
      <w:r>
        <w:rPr>
          <w:rFonts w:ascii="David" w:hAnsi="David"/>
          <w:b/>
          <w:bCs/>
          <w:noProof w:val="0"/>
          <w:rtl/>
        </w:rPr>
        <w:t>55 ימים</w:t>
      </w:r>
      <w:r>
        <w:rPr>
          <w:rFonts w:ascii="David" w:hAnsi="David"/>
          <w:noProof w:val="0"/>
          <w:rtl/>
        </w:rPr>
        <w:t>.</w:t>
      </w:r>
    </w:p>
    <w:p w:rsidR="00F87D79" w:rsidRDefault="00F87D79" w:rsidP="00F87D79">
      <w:pPr>
        <w:numPr>
          <w:ilvl w:val="0"/>
          <w:numId w:val="1"/>
        </w:numPr>
        <w:spacing w:after="160" w:line="360" w:lineRule="auto"/>
        <w:ind w:left="340"/>
        <w:contextualSpacing/>
        <w:jc w:val="both"/>
        <w:rPr>
          <w:rFonts w:ascii="David" w:hAnsi="David"/>
          <w:noProof w:val="0"/>
        </w:rPr>
      </w:pPr>
      <w:r>
        <w:rPr>
          <w:rFonts w:ascii="David" w:hAnsi="David"/>
          <w:noProof w:val="0"/>
          <w:rtl/>
        </w:rPr>
        <w:t>יצוין כי לכתב התביעה צורף אישור העדרות מבית הספר נושא תאריך 21.04.22, לפיו נעדר התובע מבית המשפט מיום 17.05.21 ועד ליום 01.06.21 "</w:t>
      </w:r>
      <w:r>
        <w:rPr>
          <w:rFonts w:ascii="David" w:hAnsi="David"/>
          <w:b/>
          <w:bCs/>
          <w:noProof w:val="0"/>
          <w:rtl/>
        </w:rPr>
        <w:t>פרט לתאריכים 24.05.21 ו 26.05.21 אשר התלמיד נכח בבית הספר"</w:t>
      </w:r>
      <w:r>
        <w:rPr>
          <w:rFonts w:ascii="David" w:hAnsi="David"/>
          <w:noProof w:val="0"/>
          <w:rtl/>
        </w:rPr>
        <w:t xml:space="preserve"> (להלן: "</w:t>
      </w:r>
      <w:r>
        <w:rPr>
          <w:rFonts w:ascii="David" w:hAnsi="David"/>
          <w:b/>
          <w:bCs/>
          <w:noProof w:val="0"/>
          <w:rtl/>
        </w:rPr>
        <w:t>אישור ההעדרות</w:t>
      </w:r>
      <w:r>
        <w:rPr>
          <w:rFonts w:ascii="David" w:hAnsi="David"/>
          <w:noProof w:val="0"/>
          <w:rtl/>
        </w:rPr>
        <w:t>").</w:t>
      </w:r>
    </w:p>
    <w:p w:rsidR="00F87D79" w:rsidRDefault="00F87D79" w:rsidP="00F87D79">
      <w:pPr>
        <w:spacing w:after="160" w:line="360" w:lineRule="auto"/>
        <w:jc w:val="both"/>
        <w:rPr>
          <w:rFonts w:ascii="David" w:hAnsi="David"/>
          <w:b/>
          <w:bCs/>
          <w:noProof w:val="0"/>
          <w:u w:val="single"/>
        </w:rPr>
      </w:pPr>
      <w:r>
        <w:rPr>
          <w:rFonts w:ascii="David" w:hAnsi="David"/>
          <w:noProof w:val="0"/>
          <w:rtl/>
        </w:rPr>
        <w:t xml:space="preserve"> </w:t>
      </w:r>
      <w:r>
        <w:rPr>
          <w:rFonts w:ascii="David" w:hAnsi="David" w:hint="cs"/>
          <w:b/>
          <w:bCs/>
          <w:noProof w:val="0"/>
          <w:u w:val="single"/>
          <w:rtl/>
        </w:rPr>
        <w:t>טענות הנתבעת</w:t>
      </w:r>
    </w:p>
    <w:p w:rsidR="00F87D79" w:rsidRDefault="00F87D79" w:rsidP="00F87D79">
      <w:pPr>
        <w:numPr>
          <w:ilvl w:val="0"/>
          <w:numId w:val="1"/>
        </w:numPr>
        <w:spacing w:after="160" w:line="360" w:lineRule="auto"/>
        <w:ind w:left="340"/>
        <w:contextualSpacing/>
        <w:jc w:val="both"/>
        <w:rPr>
          <w:rFonts w:ascii="David" w:hAnsi="David"/>
          <w:noProof w:val="0"/>
          <w:rtl/>
        </w:rPr>
      </w:pPr>
      <w:r>
        <w:rPr>
          <w:rFonts w:ascii="David" w:hAnsi="David"/>
          <w:noProof w:val="0"/>
          <w:rtl/>
        </w:rPr>
        <w:t xml:space="preserve">הנתבעת הכחישה את עצם אירוע התאונה, לרבות את נסיבותיה, תוצאותיה, והקשר הסיבתי בין הפגיעה הנטענת לתאונה. נטען כי אף אם יעלה בידי התובע להוכיח התרחשות התאונה, הרי שאם נותרה מגבלה או נכות כלשהי, זו אינה קשורה לתאונה. לפיכך, אין התובע זכאי לתגמולי ביטוח על פי הפוליסה נשוא כתב התביעה. </w:t>
      </w:r>
    </w:p>
    <w:p w:rsidR="00F87D79" w:rsidRDefault="00F87D79" w:rsidP="00F87D79">
      <w:pPr>
        <w:spacing w:after="160"/>
        <w:ind w:left="340"/>
        <w:contextualSpacing/>
        <w:jc w:val="both"/>
        <w:rPr>
          <w:rFonts w:ascii="David" w:hAnsi="David"/>
          <w:noProof w:val="0"/>
          <w:rtl/>
        </w:rPr>
      </w:pPr>
    </w:p>
    <w:p w:rsidR="00F87D79" w:rsidRDefault="00F87D79" w:rsidP="00F87D79">
      <w:pPr>
        <w:spacing w:after="160" w:line="360" w:lineRule="auto"/>
        <w:jc w:val="both"/>
        <w:rPr>
          <w:rFonts w:ascii="David" w:hAnsi="David"/>
          <w:b/>
          <w:bCs/>
          <w:noProof w:val="0"/>
          <w:u w:val="single"/>
        </w:rPr>
      </w:pPr>
      <w:r>
        <w:rPr>
          <w:rFonts w:ascii="David" w:hAnsi="David"/>
          <w:b/>
          <w:bCs/>
          <w:noProof w:val="0"/>
          <w:u w:val="single"/>
          <w:rtl/>
        </w:rPr>
        <w:t>ההליך שבפני</w:t>
      </w:r>
    </w:p>
    <w:p w:rsidR="00F87D79" w:rsidRDefault="00F87D79" w:rsidP="00F87D79">
      <w:pPr>
        <w:numPr>
          <w:ilvl w:val="0"/>
          <w:numId w:val="1"/>
        </w:numPr>
        <w:spacing w:after="160" w:line="360" w:lineRule="auto"/>
        <w:ind w:left="340"/>
        <w:contextualSpacing/>
        <w:jc w:val="both"/>
        <w:rPr>
          <w:rFonts w:ascii="David" w:hAnsi="David"/>
          <w:noProof w:val="0"/>
          <w:rtl/>
        </w:rPr>
      </w:pPr>
      <w:r>
        <w:rPr>
          <w:rFonts w:ascii="David" w:hAnsi="David"/>
          <w:noProof w:val="0"/>
          <w:rtl/>
        </w:rPr>
        <w:t>כאמור, התובע צרף לכתב התביעה חוות דעת מומחה רפואי מטעמו, במסגרתה נקבעה לו נכות צמיתה כתוצאה מהתאונה.</w:t>
      </w:r>
    </w:p>
    <w:p w:rsidR="00F87D79" w:rsidRDefault="00F87D79" w:rsidP="00F87D79">
      <w:pPr>
        <w:numPr>
          <w:ilvl w:val="0"/>
          <w:numId w:val="1"/>
        </w:numPr>
        <w:spacing w:after="160" w:line="360" w:lineRule="auto"/>
        <w:ind w:left="340"/>
        <w:contextualSpacing/>
        <w:jc w:val="both"/>
        <w:rPr>
          <w:rFonts w:ascii="David" w:hAnsi="David"/>
          <w:noProof w:val="0"/>
        </w:rPr>
      </w:pPr>
      <w:r>
        <w:rPr>
          <w:rFonts w:ascii="David" w:hAnsi="David"/>
          <w:noProof w:val="0"/>
          <w:rtl/>
        </w:rPr>
        <w:t>מטעם הנתבעת הוגשה לתיק חוות דעת רפואית של מומחה מטעמה, ד"ר נביל גרי</w:t>
      </w:r>
      <w:r>
        <w:rPr>
          <w:rFonts w:ascii="David" w:hAnsi="David" w:hint="cs"/>
          <w:noProof w:val="0"/>
          <w:rtl/>
        </w:rPr>
        <w:t>י</w:t>
      </w:r>
      <w:r>
        <w:rPr>
          <w:rFonts w:ascii="David" w:hAnsi="David"/>
          <w:noProof w:val="0"/>
          <w:rtl/>
        </w:rPr>
        <w:t>ב, אשר קבע כי לתובע נותרה נכות צמיתה בשעור 10% לפי סעיף 40(1) לתקנות</w:t>
      </w:r>
      <w:r>
        <w:rPr>
          <w:rFonts w:ascii="David" w:hAnsi="David" w:hint="cs"/>
          <w:noProof w:val="0"/>
          <w:rtl/>
        </w:rPr>
        <w:t xml:space="preserve"> המל"ל</w:t>
      </w:r>
      <w:r>
        <w:rPr>
          <w:rFonts w:ascii="David" w:hAnsi="David"/>
          <w:noProof w:val="0"/>
          <w:rtl/>
        </w:rPr>
        <w:t>.</w:t>
      </w:r>
    </w:p>
    <w:p w:rsidR="00F87D79" w:rsidRDefault="00F87D79" w:rsidP="00F87D79">
      <w:pPr>
        <w:numPr>
          <w:ilvl w:val="0"/>
          <w:numId w:val="1"/>
        </w:numPr>
        <w:spacing w:after="160" w:line="360" w:lineRule="auto"/>
        <w:ind w:left="340"/>
        <w:contextualSpacing/>
        <w:jc w:val="both"/>
        <w:rPr>
          <w:rFonts w:ascii="David" w:hAnsi="David"/>
          <w:noProof w:val="0"/>
        </w:rPr>
      </w:pPr>
      <w:r>
        <w:rPr>
          <w:rFonts w:ascii="David" w:hAnsi="David"/>
          <w:noProof w:val="0"/>
          <w:rtl/>
        </w:rPr>
        <w:t xml:space="preserve">בשל הפער בין חוות הדעת אשר הוגשו מטעם הצדדים, מונה ד"ר דוד אנג'ל כמומחה מטעם בית המשפט (להלן: </w:t>
      </w:r>
      <w:r>
        <w:rPr>
          <w:rFonts w:ascii="David" w:hAnsi="David"/>
          <w:b/>
          <w:bCs/>
          <w:noProof w:val="0"/>
          <w:rtl/>
        </w:rPr>
        <w:t>"המומחה"</w:t>
      </w:r>
      <w:r>
        <w:rPr>
          <w:rFonts w:ascii="David" w:hAnsi="David"/>
          <w:noProof w:val="0"/>
          <w:rtl/>
        </w:rPr>
        <w:t xml:space="preserve">). </w:t>
      </w:r>
      <w:r>
        <w:rPr>
          <w:rFonts w:ascii="David" w:hAnsi="David"/>
          <w:b/>
          <w:bCs/>
          <w:noProof w:val="0"/>
          <w:rtl/>
        </w:rPr>
        <w:t>בחוות דעתו מיום 26.02.23 קבע המומחה כי לתובע נותרה נכות צמיתה בשעור 10% לפי סעיף 40(1) לתקנות המל"ל, וכן נכות אסתטית נוספת בשעור 3% בגין הצלקת הניתוחית לפי סעיף 75 לתקנות המל"ל.</w:t>
      </w:r>
      <w:r>
        <w:rPr>
          <w:rFonts w:ascii="David" w:hAnsi="David"/>
          <w:noProof w:val="0"/>
          <w:rtl/>
        </w:rPr>
        <w:t xml:space="preserve">  </w:t>
      </w:r>
    </w:p>
    <w:p w:rsidR="00F87D79" w:rsidRDefault="00F87D79" w:rsidP="00F87D79">
      <w:pPr>
        <w:numPr>
          <w:ilvl w:val="0"/>
          <w:numId w:val="1"/>
        </w:numPr>
        <w:spacing w:after="160" w:line="360" w:lineRule="auto"/>
        <w:ind w:left="340"/>
        <w:contextualSpacing/>
        <w:jc w:val="both"/>
        <w:rPr>
          <w:rFonts w:ascii="David" w:hAnsi="David"/>
          <w:noProof w:val="0"/>
        </w:rPr>
      </w:pPr>
      <w:r>
        <w:rPr>
          <w:rFonts w:ascii="David" w:hAnsi="David"/>
          <w:noProof w:val="0"/>
          <w:rtl/>
        </w:rPr>
        <w:t xml:space="preserve">כן קבע המומחה, כי </w:t>
      </w:r>
      <w:r>
        <w:rPr>
          <w:rFonts w:ascii="David" w:hAnsi="David"/>
          <w:b/>
          <w:bCs/>
          <w:noProof w:val="0"/>
          <w:rtl/>
        </w:rPr>
        <w:t>נכותו הזמנית</w:t>
      </w:r>
      <w:r>
        <w:rPr>
          <w:rFonts w:ascii="David" w:hAnsi="David"/>
          <w:noProof w:val="0"/>
          <w:rtl/>
        </w:rPr>
        <w:t xml:space="preserve"> של התובע הינה כדלקמן :</w:t>
      </w:r>
    </w:p>
    <w:p w:rsidR="00F87D79" w:rsidRDefault="00F87D79" w:rsidP="00F87D79">
      <w:pPr>
        <w:spacing w:after="160" w:line="360" w:lineRule="auto"/>
        <w:ind w:left="340"/>
        <w:contextualSpacing/>
        <w:jc w:val="both"/>
        <w:rPr>
          <w:rFonts w:ascii="David" w:hAnsi="David"/>
          <w:noProof w:val="0"/>
        </w:rPr>
      </w:pPr>
      <w:r>
        <w:rPr>
          <w:rFonts w:ascii="David" w:hAnsi="David"/>
          <w:noProof w:val="0"/>
          <w:rtl/>
        </w:rPr>
        <w:t>100% מיום 16.05.21 ועד 30.06.21.</w:t>
      </w:r>
    </w:p>
    <w:p w:rsidR="00F87D79" w:rsidRDefault="00F87D79" w:rsidP="00F87D79">
      <w:pPr>
        <w:spacing w:after="160" w:line="360" w:lineRule="auto"/>
        <w:ind w:left="340"/>
        <w:contextualSpacing/>
        <w:jc w:val="both"/>
        <w:rPr>
          <w:rFonts w:ascii="David" w:hAnsi="David"/>
          <w:noProof w:val="0"/>
          <w:rtl/>
        </w:rPr>
      </w:pPr>
      <w:r>
        <w:rPr>
          <w:rFonts w:ascii="David" w:hAnsi="David"/>
          <w:noProof w:val="0"/>
          <w:rtl/>
        </w:rPr>
        <w:t>40% מיום 01.07.21 ועד 31.07.21.</w:t>
      </w:r>
    </w:p>
    <w:p w:rsidR="00F87D79" w:rsidRDefault="00F87D79" w:rsidP="00F87D79">
      <w:pPr>
        <w:spacing w:after="160" w:line="360" w:lineRule="auto"/>
        <w:ind w:left="340"/>
        <w:contextualSpacing/>
        <w:jc w:val="both"/>
        <w:rPr>
          <w:rFonts w:ascii="David" w:hAnsi="David"/>
          <w:noProof w:val="0"/>
          <w:rtl/>
        </w:rPr>
      </w:pPr>
      <w:r>
        <w:rPr>
          <w:rFonts w:ascii="David" w:hAnsi="David"/>
          <w:noProof w:val="0"/>
          <w:rtl/>
        </w:rPr>
        <w:t>20% מיום 01.08.21 ועד 30.09.21.</w:t>
      </w:r>
    </w:p>
    <w:p w:rsidR="00F87D79" w:rsidRDefault="00F87D79" w:rsidP="00F87D79">
      <w:pPr>
        <w:numPr>
          <w:ilvl w:val="0"/>
          <w:numId w:val="1"/>
        </w:numPr>
        <w:spacing w:after="160" w:line="360" w:lineRule="auto"/>
        <w:ind w:left="340"/>
        <w:contextualSpacing/>
        <w:jc w:val="both"/>
        <w:rPr>
          <w:rFonts w:ascii="David" w:hAnsi="David"/>
          <w:noProof w:val="0"/>
        </w:rPr>
      </w:pPr>
      <w:r>
        <w:rPr>
          <w:rFonts w:ascii="David" w:hAnsi="David"/>
          <w:noProof w:val="0"/>
          <w:rtl/>
        </w:rPr>
        <w:t>בדיון שהתקיים ביום 16.07.23, סיכמו הצדדים טענותיהם בעל-פה בקצרה.</w:t>
      </w:r>
    </w:p>
    <w:p w:rsidR="00F87D79" w:rsidRDefault="00F87D79" w:rsidP="00F87D79">
      <w:pPr>
        <w:spacing w:after="160" w:line="360" w:lineRule="auto"/>
        <w:jc w:val="both"/>
        <w:rPr>
          <w:rFonts w:ascii="David" w:hAnsi="David"/>
          <w:b/>
          <w:bCs/>
          <w:noProof w:val="0"/>
          <w:u w:val="single"/>
        </w:rPr>
      </w:pPr>
      <w:r>
        <w:rPr>
          <w:rFonts w:ascii="David" w:hAnsi="David"/>
          <w:b/>
          <w:bCs/>
          <w:noProof w:val="0"/>
          <w:u w:val="single"/>
          <w:rtl/>
        </w:rPr>
        <w:lastRenderedPageBreak/>
        <w:t>גדר המחלוקת</w:t>
      </w:r>
    </w:p>
    <w:p w:rsidR="00F87D79" w:rsidRDefault="00F87D79" w:rsidP="00F87D79">
      <w:pPr>
        <w:numPr>
          <w:ilvl w:val="0"/>
          <w:numId w:val="1"/>
        </w:numPr>
        <w:spacing w:after="160" w:line="360" w:lineRule="auto"/>
        <w:ind w:left="340"/>
        <w:contextualSpacing/>
        <w:jc w:val="both"/>
        <w:rPr>
          <w:rFonts w:ascii="David" w:hAnsi="David"/>
          <w:noProof w:val="0"/>
          <w:rtl/>
        </w:rPr>
      </w:pPr>
      <w:r>
        <w:rPr>
          <w:rFonts w:ascii="David" w:hAnsi="David"/>
          <w:noProof w:val="0"/>
          <w:rtl/>
        </w:rPr>
        <w:t xml:space="preserve">הצדדים אינם חלוקים ביחס לזכאותו של התובע לתגמולי ביטוח בגין נכות צמיתה בשיעור 10%, קרי </w:t>
      </w:r>
      <w:r>
        <w:rPr>
          <w:rFonts w:ascii="David" w:hAnsi="David"/>
          <w:b/>
          <w:bCs/>
          <w:noProof w:val="0"/>
          <w:rtl/>
        </w:rPr>
        <w:t xml:space="preserve">39,500 ₪. </w:t>
      </w:r>
      <w:r>
        <w:rPr>
          <w:rFonts w:ascii="David" w:hAnsi="David"/>
          <w:noProof w:val="0"/>
          <w:rtl/>
        </w:rPr>
        <w:t>אין מחלוקת אף בדבר זכותו של התובע לפנות לוועדת חריגים בכל הנוגע לנכות בגין הצלקת האסתטית (בהתאם לסעיף 4 ג' לתנאים הכלליים לפוליסה).</w:t>
      </w:r>
    </w:p>
    <w:p w:rsidR="00F87D79" w:rsidRDefault="00F87D79" w:rsidP="00F87D79">
      <w:pPr>
        <w:numPr>
          <w:ilvl w:val="0"/>
          <w:numId w:val="1"/>
        </w:numPr>
        <w:spacing w:after="160" w:line="360" w:lineRule="auto"/>
        <w:ind w:left="340"/>
        <w:contextualSpacing/>
        <w:jc w:val="both"/>
        <w:rPr>
          <w:rFonts w:ascii="David" w:hAnsi="David"/>
          <w:noProof w:val="0"/>
        </w:rPr>
      </w:pPr>
      <w:r>
        <w:rPr>
          <w:rFonts w:ascii="David" w:hAnsi="David"/>
          <w:noProof w:val="0"/>
          <w:rtl/>
        </w:rPr>
        <w:t>המחלוקת בין הצדדים נסובה סביב זכאות התובע לתגמולי ביטוח בגין נכות זמנית, לרבות ביחס לתקופת האשפוז וכן בכל הנוגע להוצאות המשפט (שכ"ט עו"ד, עלות חוות הדעת הרפואיות).</w:t>
      </w:r>
    </w:p>
    <w:p w:rsidR="00F87D79" w:rsidRDefault="00F87D79" w:rsidP="00F87D79">
      <w:pPr>
        <w:numPr>
          <w:ilvl w:val="0"/>
          <w:numId w:val="1"/>
        </w:numPr>
        <w:spacing w:after="160" w:line="360" w:lineRule="auto"/>
        <w:ind w:left="340"/>
        <w:contextualSpacing/>
        <w:jc w:val="both"/>
        <w:rPr>
          <w:rFonts w:ascii="David" w:hAnsi="David"/>
          <w:noProof w:val="0"/>
        </w:rPr>
      </w:pPr>
      <w:r>
        <w:rPr>
          <w:rFonts w:ascii="David" w:hAnsi="David"/>
          <w:noProof w:val="0"/>
          <w:rtl/>
        </w:rPr>
        <w:t xml:space="preserve">הנתבעת סבורה, כי התובע לא עמד בתנאים שנקבעו בפוליסה בכל הנוגע לנכות הזמנית, שהרי גם המומחה קבע לתובע 45 ימי אי כושר בלבד, וכן כי עיון באישור ההעדרות שצורף ע"י התובע מלמד כי התובע נעדר 13 ימים בלבד, ומשהתובע התייצב בבית הספר ביום 24.05.21 ניתק </w:t>
      </w:r>
      <w:r>
        <w:rPr>
          <w:rFonts w:ascii="David" w:hAnsi="David"/>
          <w:b/>
          <w:bCs/>
          <w:noProof w:val="0"/>
          <w:rtl/>
        </w:rPr>
        <w:t>הוא את הרצף הנדרש בפוליסה ומכאן שאינו זכאי לתגמולי ביטוח בגין רכיב זה.</w:t>
      </w:r>
    </w:p>
    <w:p w:rsidR="00F87D79" w:rsidRDefault="00F87D79" w:rsidP="00F87D79">
      <w:pPr>
        <w:numPr>
          <w:ilvl w:val="0"/>
          <w:numId w:val="1"/>
        </w:numPr>
        <w:spacing w:after="160" w:line="360" w:lineRule="auto"/>
        <w:ind w:left="340"/>
        <w:contextualSpacing/>
        <w:jc w:val="both"/>
        <w:rPr>
          <w:rFonts w:ascii="David" w:hAnsi="David"/>
          <w:noProof w:val="0"/>
        </w:rPr>
      </w:pPr>
      <w:r>
        <w:rPr>
          <w:rFonts w:ascii="David" w:hAnsi="David"/>
          <w:noProof w:val="0"/>
          <w:rtl/>
        </w:rPr>
        <w:t>לעניין ההוצאות, סבורה הנתבעת, כי משקביעת המומחה זהה בעיקרה לקביעת המומחה מטעם הנתבעת, דבר המצביע על היות חוות דעת המומחה מטעם התובע מוגזמת, הרי שאין מקום לחיובה בהוצאות אלו.</w:t>
      </w:r>
    </w:p>
    <w:p w:rsidR="00F87D79" w:rsidRDefault="00F87D79" w:rsidP="00F87D79">
      <w:pPr>
        <w:numPr>
          <w:ilvl w:val="0"/>
          <w:numId w:val="1"/>
        </w:numPr>
        <w:spacing w:after="160" w:line="360" w:lineRule="auto"/>
        <w:ind w:left="340"/>
        <w:contextualSpacing/>
        <w:jc w:val="both"/>
        <w:rPr>
          <w:rFonts w:ascii="David" w:hAnsi="David"/>
          <w:noProof w:val="0"/>
        </w:rPr>
      </w:pPr>
      <w:r>
        <w:rPr>
          <w:rFonts w:ascii="David" w:hAnsi="David"/>
          <w:noProof w:val="0"/>
          <w:rtl/>
        </w:rPr>
        <w:t xml:space="preserve">כן מוסיפה הנתבעת, כי התובע התעלם מקיומם של מנגנוני בדיקה </w:t>
      </w:r>
      <w:r w:rsidR="0079656F">
        <w:rPr>
          <w:rFonts w:ascii="David" w:hAnsi="David" w:hint="cs"/>
          <w:noProof w:val="0"/>
          <w:rtl/>
        </w:rPr>
        <w:t xml:space="preserve">בידי מומחה הקבועים </w:t>
      </w:r>
      <w:r>
        <w:rPr>
          <w:rFonts w:ascii="David" w:hAnsi="David"/>
          <w:noProof w:val="0"/>
          <w:rtl/>
        </w:rPr>
        <w:t>בפוליסה, ובחר על דעת עצמו לפנות ישירות לתביעה משפטית ומכאן שעליו לשאת בהוצאותיו.</w:t>
      </w:r>
    </w:p>
    <w:p w:rsidR="00F87D79" w:rsidRDefault="00F87D79" w:rsidP="00F87D79">
      <w:pPr>
        <w:numPr>
          <w:ilvl w:val="0"/>
          <w:numId w:val="1"/>
        </w:numPr>
        <w:spacing w:after="160" w:line="360" w:lineRule="auto"/>
        <w:ind w:left="340"/>
        <w:contextualSpacing/>
        <w:jc w:val="both"/>
        <w:rPr>
          <w:rFonts w:ascii="David" w:hAnsi="David"/>
          <w:noProof w:val="0"/>
        </w:rPr>
      </w:pPr>
      <w:r>
        <w:rPr>
          <w:rFonts w:ascii="David" w:hAnsi="David"/>
          <w:noProof w:val="0"/>
          <w:rtl/>
        </w:rPr>
        <w:t>בעניין שכ"ט עו"ד, מפנה הנתבעת לכללי לשכת עורכי הדין (התעריף המינימלי המומלץ) תש"ס 2000, וטוענת כי זכאות התובע הינה לשכ"ט בא-כוחו בשעור 10% בלבד.</w:t>
      </w:r>
    </w:p>
    <w:p w:rsidR="00F87D79" w:rsidRDefault="00F87D79" w:rsidP="00F87D79">
      <w:pPr>
        <w:numPr>
          <w:ilvl w:val="0"/>
          <w:numId w:val="1"/>
        </w:numPr>
        <w:spacing w:after="160" w:line="360" w:lineRule="auto"/>
        <w:ind w:left="340"/>
        <w:contextualSpacing/>
        <w:jc w:val="both"/>
        <w:rPr>
          <w:rFonts w:ascii="David" w:hAnsi="David"/>
          <w:noProof w:val="0"/>
        </w:rPr>
      </w:pPr>
      <w:r>
        <w:rPr>
          <w:rFonts w:ascii="David" w:hAnsi="David"/>
          <w:noProof w:val="0"/>
          <w:rtl/>
        </w:rPr>
        <w:t>בהתאם להחלטה בסוף הדיון, צרף ב"כ התובע לאחר הדיון, עותק מהתנאים הכלליים לפוליסה.</w:t>
      </w:r>
    </w:p>
    <w:p w:rsidR="0079656F" w:rsidRDefault="0079656F" w:rsidP="00F87D79">
      <w:pPr>
        <w:spacing w:after="160" w:line="360" w:lineRule="auto"/>
        <w:jc w:val="both"/>
        <w:rPr>
          <w:rFonts w:ascii="David" w:hAnsi="David"/>
          <w:b/>
          <w:bCs/>
          <w:noProof w:val="0"/>
          <w:u w:val="single"/>
          <w:rtl/>
        </w:rPr>
      </w:pPr>
    </w:p>
    <w:p w:rsidR="00F87D79" w:rsidRDefault="00F87D79" w:rsidP="00F87D79">
      <w:pPr>
        <w:spacing w:after="160" w:line="360" w:lineRule="auto"/>
        <w:jc w:val="both"/>
        <w:rPr>
          <w:rFonts w:ascii="David" w:hAnsi="David"/>
          <w:b/>
          <w:bCs/>
          <w:noProof w:val="0"/>
          <w:u w:val="single"/>
          <w:rtl/>
        </w:rPr>
      </w:pPr>
      <w:r>
        <w:rPr>
          <w:rFonts w:ascii="David" w:hAnsi="David"/>
          <w:b/>
          <w:bCs/>
          <w:noProof w:val="0"/>
          <w:u w:val="single"/>
          <w:rtl/>
        </w:rPr>
        <w:t>דיון והכרעה</w:t>
      </w:r>
    </w:p>
    <w:p w:rsidR="00F87D79" w:rsidRDefault="00F87D79" w:rsidP="00F87D79">
      <w:pPr>
        <w:numPr>
          <w:ilvl w:val="0"/>
          <w:numId w:val="1"/>
        </w:numPr>
        <w:spacing w:after="160" w:line="360" w:lineRule="auto"/>
        <w:ind w:left="340"/>
        <w:contextualSpacing/>
        <w:jc w:val="both"/>
        <w:rPr>
          <w:rFonts w:ascii="David" w:hAnsi="David"/>
          <w:noProof w:val="0"/>
        </w:rPr>
      </w:pPr>
      <w:r>
        <w:rPr>
          <w:rFonts w:ascii="David" w:hAnsi="David"/>
          <w:noProof w:val="0"/>
          <w:rtl/>
        </w:rPr>
        <w:t xml:space="preserve">סעיף 2.א.4. לפוליסה קובע את חובתה של הנתבעת לשלם תגמולי ביטוח לתלמיד שנגרם לו היזק גופני בנכות זמנית- סכום יומי השווה ל-209 ₪ ליום, החל מהמועד בו התקיים המצב הנ"ל בתנאי שתהיה לו נכות זמנית </w:t>
      </w:r>
      <w:r>
        <w:rPr>
          <w:rFonts w:ascii="David" w:hAnsi="David"/>
          <w:b/>
          <w:bCs/>
          <w:noProof w:val="0"/>
          <w:rtl/>
        </w:rPr>
        <w:t>במשך 55 יום רצופים לפחות</w:t>
      </w:r>
      <w:r>
        <w:rPr>
          <w:rFonts w:ascii="David" w:hAnsi="David"/>
          <w:noProof w:val="0"/>
          <w:rtl/>
        </w:rPr>
        <w:t>, ועד ששה חודשים במצטבר.</w:t>
      </w:r>
    </w:p>
    <w:p w:rsidR="0079656F" w:rsidRDefault="0079656F" w:rsidP="0079656F">
      <w:pPr>
        <w:spacing w:after="160" w:line="360" w:lineRule="auto"/>
        <w:ind w:left="340"/>
        <w:contextualSpacing/>
        <w:jc w:val="both"/>
        <w:rPr>
          <w:rFonts w:ascii="David" w:hAnsi="David"/>
          <w:noProof w:val="0"/>
          <w:rtl/>
        </w:rPr>
      </w:pPr>
    </w:p>
    <w:p w:rsidR="00F87D79" w:rsidRDefault="00F87D79" w:rsidP="00F87D79">
      <w:pPr>
        <w:numPr>
          <w:ilvl w:val="0"/>
          <w:numId w:val="1"/>
        </w:numPr>
        <w:spacing w:after="160" w:line="360" w:lineRule="auto"/>
        <w:ind w:left="340"/>
        <w:contextualSpacing/>
        <w:jc w:val="both"/>
        <w:rPr>
          <w:rFonts w:ascii="David" w:hAnsi="David"/>
          <w:noProof w:val="0"/>
          <w:rtl/>
        </w:rPr>
      </w:pPr>
      <w:r>
        <w:rPr>
          <w:rFonts w:ascii="David" w:hAnsi="David"/>
          <w:noProof w:val="0"/>
          <w:rtl/>
        </w:rPr>
        <w:t>להלן יובא נוסח הפוליסה בנוגע למונח "</w:t>
      </w:r>
      <w:r>
        <w:rPr>
          <w:rFonts w:ascii="David" w:hAnsi="David"/>
          <w:b/>
          <w:bCs/>
          <w:noProof w:val="0"/>
          <w:rtl/>
        </w:rPr>
        <w:t>נכות זמנית</w:t>
      </w:r>
      <w:r>
        <w:rPr>
          <w:rFonts w:ascii="David" w:hAnsi="David"/>
          <w:noProof w:val="0"/>
          <w:rtl/>
        </w:rPr>
        <w:t>" בפרק ההגדרות :</w:t>
      </w:r>
    </w:p>
    <w:p w:rsidR="00F87D79" w:rsidRDefault="00F87D79" w:rsidP="00F87D79">
      <w:pPr>
        <w:pStyle w:val="ad"/>
        <w:rPr>
          <w:rFonts w:ascii="David" w:hAnsi="David"/>
          <w:noProof w:val="0"/>
        </w:rPr>
      </w:pPr>
      <w:r>
        <w:rPr>
          <w:rFonts w:ascii="David" w:hAnsi="David"/>
        </w:rPr>
        <w:lastRenderedPageBreak/>
        <w:drawing>
          <wp:inline distT="0" distB="0" distL="0" distR="0">
            <wp:extent cx="4933950" cy="3448050"/>
            <wp:effectExtent l="0" t="0" r="0" b="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33950" cy="3448050"/>
                    </a:xfrm>
                    <a:prstGeom prst="rect">
                      <a:avLst/>
                    </a:prstGeom>
                    <a:noFill/>
                    <a:ln>
                      <a:noFill/>
                    </a:ln>
                  </pic:spPr>
                </pic:pic>
              </a:graphicData>
            </a:graphic>
          </wp:inline>
        </w:drawing>
      </w:r>
    </w:p>
    <w:p w:rsidR="00F87D79" w:rsidRDefault="00F87D79" w:rsidP="00F87D79">
      <w:pPr>
        <w:pStyle w:val="ad"/>
        <w:rPr>
          <w:rFonts w:ascii="David" w:hAnsi="David"/>
          <w:noProof w:val="0"/>
          <w:rtl/>
        </w:rPr>
      </w:pPr>
    </w:p>
    <w:p w:rsidR="00F87D79" w:rsidRDefault="00F87D79" w:rsidP="00F87D79">
      <w:pPr>
        <w:pStyle w:val="ad"/>
        <w:rPr>
          <w:rFonts w:ascii="David" w:hAnsi="David"/>
          <w:noProof w:val="0"/>
          <w:rtl/>
        </w:rPr>
      </w:pPr>
    </w:p>
    <w:p w:rsidR="00F87D79" w:rsidRDefault="00F87D79" w:rsidP="00F87D79">
      <w:pPr>
        <w:numPr>
          <w:ilvl w:val="0"/>
          <w:numId w:val="1"/>
        </w:numPr>
        <w:spacing w:after="160" w:line="360" w:lineRule="auto"/>
        <w:ind w:left="340"/>
        <w:contextualSpacing/>
        <w:jc w:val="both"/>
        <w:rPr>
          <w:rFonts w:ascii="David" w:hAnsi="David"/>
          <w:noProof w:val="0"/>
          <w:rtl/>
        </w:rPr>
      </w:pPr>
      <w:r>
        <w:rPr>
          <w:rFonts w:ascii="David" w:hAnsi="David"/>
          <w:noProof w:val="0"/>
          <w:rtl/>
        </w:rPr>
        <w:t xml:space="preserve">בענייננו, קבע המומחה כי לתובע </w:t>
      </w:r>
      <w:r>
        <w:rPr>
          <w:rFonts w:ascii="David" w:hAnsi="David"/>
          <w:b/>
          <w:bCs/>
          <w:noProof w:val="0"/>
          <w:rtl/>
        </w:rPr>
        <w:t>נכות זמנית מן התאונה בשיעור 100% למשך 45 ימים מיום התאונה, 40% למשך 30 יום נוספים, ו-20% למשך 60 יום נוספים. סך הכול 135 ימים</w:t>
      </w:r>
      <w:r>
        <w:rPr>
          <w:rFonts w:ascii="David" w:hAnsi="David"/>
          <w:noProof w:val="0"/>
          <w:rtl/>
        </w:rPr>
        <w:t>. התובע לא צרף אישור מאת המוסד החינוכי בדבר העדרותו בתקופת אי הכושר פרט לאישור ההעדרות, אשר במסגרתו הובהר כי התובע התייצב בבית הספר למשך יומיים.</w:t>
      </w:r>
    </w:p>
    <w:p w:rsidR="00F87D79" w:rsidRDefault="00F87D79" w:rsidP="00F87D79">
      <w:pPr>
        <w:numPr>
          <w:ilvl w:val="0"/>
          <w:numId w:val="1"/>
        </w:numPr>
        <w:spacing w:after="160" w:line="360" w:lineRule="auto"/>
        <w:ind w:left="340"/>
        <w:contextualSpacing/>
        <w:jc w:val="both"/>
        <w:rPr>
          <w:rFonts w:ascii="David" w:hAnsi="David"/>
          <w:noProof w:val="0"/>
        </w:rPr>
      </w:pPr>
      <w:r>
        <w:rPr>
          <w:rFonts w:ascii="David" w:hAnsi="David"/>
          <w:noProof w:val="0"/>
          <w:rtl/>
        </w:rPr>
        <w:t xml:space="preserve">הנה כי כן, בהגדרת המונח "נכות זמנית" אין התייחסות לשעורה של הנכות, ובלבד שאותו אי כושר פיזי נתמך </w:t>
      </w:r>
      <w:r>
        <w:rPr>
          <w:rFonts w:ascii="David" w:hAnsi="David"/>
          <w:b/>
          <w:bCs/>
          <w:noProof w:val="0"/>
          <w:rtl/>
        </w:rPr>
        <w:t>באישור רופא מומחה בתחום הפגיעה</w:t>
      </w:r>
      <w:r>
        <w:rPr>
          <w:rFonts w:ascii="David" w:hAnsi="David"/>
          <w:noProof w:val="0"/>
          <w:rtl/>
        </w:rPr>
        <w:t xml:space="preserve"> כפי שקיים במקרה דנן, וכן כי עקב כך "</w:t>
      </w:r>
      <w:r>
        <w:rPr>
          <w:rFonts w:ascii="David" w:hAnsi="David"/>
          <w:b/>
          <w:bCs/>
          <w:noProof w:val="0"/>
          <w:rtl/>
        </w:rPr>
        <w:t>נעדר מהמוסד החינוכי בתקופת לימודים סדירים ובתקופה שבה לא מתקיימים לימודים היה נעדר מהמוסד החינוכי אילו לא היו מתקיימים לימודים</w:t>
      </w:r>
      <w:r>
        <w:rPr>
          <w:rFonts w:ascii="David" w:hAnsi="David"/>
          <w:noProof w:val="0"/>
          <w:rtl/>
        </w:rPr>
        <w:t>".</w:t>
      </w:r>
    </w:p>
    <w:p w:rsidR="00F87D79" w:rsidRDefault="00F87D79" w:rsidP="00F87D79">
      <w:pPr>
        <w:spacing w:after="160"/>
        <w:ind w:left="340"/>
        <w:contextualSpacing/>
        <w:jc w:val="both"/>
        <w:rPr>
          <w:rFonts w:ascii="David" w:hAnsi="David"/>
          <w:noProof w:val="0"/>
          <w:rtl/>
        </w:rPr>
      </w:pPr>
      <w:r>
        <w:rPr>
          <w:rFonts w:ascii="David" w:hAnsi="David"/>
          <w:noProof w:val="0"/>
          <w:rtl/>
        </w:rPr>
        <w:t xml:space="preserve">   </w:t>
      </w:r>
    </w:p>
    <w:p w:rsidR="00F87D79" w:rsidRDefault="00F87D79" w:rsidP="00F87D79">
      <w:pPr>
        <w:numPr>
          <w:ilvl w:val="0"/>
          <w:numId w:val="1"/>
        </w:numPr>
        <w:spacing w:after="160" w:line="360" w:lineRule="auto"/>
        <w:ind w:left="340"/>
        <w:contextualSpacing/>
        <w:jc w:val="both"/>
        <w:rPr>
          <w:rFonts w:ascii="David" w:hAnsi="David"/>
          <w:noProof w:val="0"/>
        </w:rPr>
      </w:pPr>
      <w:r>
        <w:rPr>
          <w:rFonts w:ascii="David" w:hAnsi="David"/>
          <w:noProof w:val="0"/>
          <w:rtl/>
        </w:rPr>
        <w:t xml:space="preserve">במקרה דנן, אישור ההעדרות מלמד כי הרצף הנדרש בהתאם לסעיף 2.א.4 </w:t>
      </w:r>
      <w:r w:rsidR="0079656F">
        <w:rPr>
          <w:rFonts w:ascii="David" w:hAnsi="David" w:hint="cs"/>
          <w:noProof w:val="0"/>
          <w:rtl/>
        </w:rPr>
        <w:t xml:space="preserve">לפוליסה </w:t>
      </w:r>
      <w:r>
        <w:rPr>
          <w:rFonts w:ascii="David" w:hAnsi="David"/>
          <w:noProof w:val="0"/>
          <w:rtl/>
        </w:rPr>
        <w:t xml:space="preserve">נקטע בימים 24.05.21 ו- 26.05.21, ומכאן שאף אם היה התובע באי כושר פיזי שמקיים את הגדרת ה"נכות הזמנית" הקבועה בפוליסה, </w:t>
      </w:r>
      <w:r>
        <w:rPr>
          <w:rFonts w:ascii="David" w:hAnsi="David"/>
          <w:b/>
          <w:bCs/>
          <w:noProof w:val="0"/>
          <w:rtl/>
        </w:rPr>
        <w:t>עדיין התייצבותו בבית הספר במועדים הנ"ל הביא לקטיעת רצף התקופה ולשלילת זכאותו לתגמולי ביטוח בגין תקופה זו, קרי עד ליום 26.05.21</w:t>
      </w:r>
      <w:r>
        <w:rPr>
          <w:rFonts w:ascii="David" w:hAnsi="David"/>
          <w:noProof w:val="0"/>
          <w:rtl/>
        </w:rPr>
        <w:t>.</w:t>
      </w:r>
    </w:p>
    <w:p w:rsidR="00F87D79" w:rsidRDefault="00F87D79" w:rsidP="00A21B19">
      <w:pPr>
        <w:numPr>
          <w:ilvl w:val="0"/>
          <w:numId w:val="1"/>
        </w:numPr>
        <w:spacing w:after="160" w:line="360" w:lineRule="auto"/>
        <w:ind w:left="340"/>
        <w:contextualSpacing/>
        <w:jc w:val="both"/>
        <w:rPr>
          <w:rFonts w:ascii="David" w:hAnsi="David"/>
          <w:noProof w:val="0"/>
        </w:rPr>
      </w:pPr>
      <w:r>
        <w:rPr>
          <w:rFonts w:ascii="David" w:hAnsi="David"/>
          <w:noProof w:val="0"/>
          <w:rtl/>
        </w:rPr>
        <w:t>יודגש, כי בהגדרת המונח "נכות זמנית" ניכר כי ישנה חשיבות רבה לתנאי ההעדרות מבית הספר, ולא בכדי הפוליסה דורשת כי גם בתקופה ש</w:t>
      </w:r>
      <w:r w:rsidR="0079656F">
        <w:rPr>
          <w:rFonts w:ascii="David" w:hAnsi="David" w:hint="cs"/>
          <w:noProof w:val="0"/>
          <w:rtl/>
        </w:rPr>
        <w:t xml:space="preserve">בה </w:t>
      </w:r>
      <w:r>
        <w:rPr>
          <w:rFonts w:ascii="David" w:hAnsi="David"/>
          <w:noProof w:val="0"/>
          <w:rtl/>
        </w:rPr>
        <w:t xml:space="preserve">לא מתקיימים לימודים בבית הספר, עדיין </w:t>
      </w:r>
      <w:r w:rsidR="0079656F">
        <w:rPr>
          <w:rFonts w:ascii="David" w:hAnsi="David" w:hint="cs"/>
          <w:noProof w:val="0"/>
          <w:rtl/>
        </w:rPr>
        <w:t>ת</w:t>
      </w:r>
      <w:r>
        <w:rPr>
          <w:rFonts w:ascii="David" w:hAnsi="David"/>
          <w:noProof w:val="0"/>
          <w:rtl/>
        </w:rPr>
        <w:t>בחן התקיימות תנאי זה. ואם לא די בכך, הרי שבסעיף 2.א.4</w:t>
      </w:r>
      <w:r w:rsidR="0079656F">
        <w:rPr>
          <w:rFonts w:ascii="David" w:hAnsi="David" w:hint="cs"/>
          <w:noProof w:val="0"/>
          <w:rtl/>
        </w:rPr>
        <w:t xml:space="preserve"> לפוליסה</w:t>
      </w:r>
      <w:r>
        <w:rPr>
          <w:rFonts w:ascii="David" w:hAnsi="David"/>
          <w:noProof w:val="0"/>
          <w:rtl/>
        </w:rPr>
        <w:t>, לאחר ש</w:t>
      </w:r>
      <w:r w:rsidR="0079656F">
        <w:rPr>
          <w:rFonts w:ascii="David" w:hAnsi="David" w:hint="cs"/>
          <w:noProof w:val="0"/>
          <w:rtl/>
        </w:rPr>
        <w:t xml:space="preserve">נכנסנו </w:t>
      </w:r>
      <w:r>
        <w:rPr>
          <w:rFonts w:ascii="David" w:hAnsi="David"/>
          <w:noProof w:val="0"/>
          <w:rtl/>
        </w:rPr>
        <w:t xml:space="preserve"> </w:t>
      </w:r>
      <w:r w:rsidR="0079656F">
        <w:rPr>
          <w:rFonts w:ascii="David" w:hAnsi="David" w:hint="cs"/>
          <w:noProof w:val="0"/>
          <w:rtl/>
        </w:rPr>
        <w:t>ב</w:t>
      </w:r>
      <w:r w:rsidR="00A21B19">
        <w:rPr>
          <w:rFonts w:ascii="David" w:hAnsi="David" w:hint="cs"/>
          <w:noProof w:val="0"/>
          <w:rtl/>
        </w:rPr>
        <w:t>פרוזדור</w:t>
      </w:r>
      <w:r>
        <w:rPr>
          <w:rFonts w:ascii="David" w:hAnsi="David"/>
          <w:noProof w:val="0"/>
          <w:rtl/>
        </w:rPr>
        <w:t xml:space="preserve"> ה"נכות הזמנית" ו</w:t>
      </w:r>
      <w:r w:rsidR="00A21B19">
        <w:rPr>
          <w:rFonts w:ascii="David" w:hAnsi="David" w:hint="cs"/>
          <w:noProof w:val="0"/>
          <w:rtl/>
        </w:rPr>
        <w:t>הגענו</w:t>
      </w:r>
      <w:r>
        <w:rPr>
          <w:rFonts w:ascii="David" w:hAnsi="David"/>
          <w:noProof w:val="0"/>
          <w:rtl/>
        </w:rPr>
        <w:t xml:space="preserve"> כבר ל</w:t>
      </w:r>
      <w:r w:rsidR="00A21B19">
        <w:rPr>
          <w:rFonts w:ascii="David" w:hAnsi="David" w:hint="cs"/>
          <w:noProof w:val="0"/>
          <w:rtl/>
        </w:rPr>
        <w:t>ט</w:t>
      </w:r>
      <w:r>
        <w:rPr>
          <w:rFonts w:ascii="David" w:hAnsi="David"/>
          <w:noProof w:val="0"/>
          <w:rtl/>
        </w:rPr>
        <w:t>ר</w:t>
      </w:r>
      <w:r w:rsidR="00A21B19">
        <w:rPr>
          <w:rFonts w:ascii="David" w:hAnsi="David" w:hint="cs"/>
          <w:noProof w:val="0"/>
          <w:rtl/>
        </w:rPr>
        <w:t>קלין</w:t>
      </w:r>
      <w:r>
        <w:rPr>
          <w:rFonts w:ascii="David" w:hAnsi="David"/>
          <w:noProof w:val="0"/>
          <w:rtl/>
        </w:rPr>
        <w:t xml:space="preserve"> מימוש זכות זו, נתקל שוב בדרישת הרציפות.</w:t>
      </w:r>
    </w:p>
    <w:p w:rsidR="00F87D79" w:rsidRDefault="00F87D79" w:rsidP="00F87D79">
      <w:pPr>
        <w:numPr>
          <w:ilvl w:val="0"/>
          <w:numId w:val="1"/>
        </w:numPr>
        <w:spacing w:after="160" w:line="360" w:lineRule="auto"/>
        <w:ind w:left="340"/>
        <w:contextualSpacing/>
        <w:jc w:val="both"/>
        <w:rPr>
          <w:rFonts w:ascii="David" w:hAnsi="David"/>
          <w:noProof w:val="0"/>
        </w:rPr>
      </w:pPr>
      <w:r>
        <w:rPr>
          <w:rFonts w:ascii="David" w:hAnsi="David"/>
          <w:noProof w:val="0"/>
          <w:rtl/>
        </w:rPr>
        <w:lastRenderedPageBreak/>
        <w:t xml:space="preserve">ללמדנו, כי תנאי לתשלום תגמולי ביטוח בגין מרכיב הנכות הזמנית הינו </w:t>
      </w:r>
      <w:r w:rsidRPr="00A21B19">
        <w:rPr>
          <w:rFonts w:ascii="David" w:hAnsi="David"/>
          <w:b/>
          <w:bCs/>
          <w:noProof w:val="0"/>
          <w:rtl/>
        </w:rPr>
        <w:t>העדרות מבית הספר</w:t>
      </w:r>
      <w:r>
        <w:rPr>
          <w:rFonts w:ascii="David" w:hAnsi="David"/>
          <w:noProof w:val="0"/>
          <w:rtl/>
        </w:rPr>
        <w:t xml:space="preserve">, לתקופה של 55 ימים </w:t>
      </w:r>
      <w:r w:rsidRPr="00A21B19">
        <w:rPr>
          <w:rFonts w:ascii="David" w:hAnsi="David"/>
          <w:b/>
          <w:bCs/>
          <w:noProof w:val="0"/>
          <w:rtl/>
        </w:rPr>
        <w:t xml:space="preserve">רצופים </w:t>
      </w:r>
      <w:r>
        <w:rPr>
          <w:rFonts w:ascii="David" w:hAnsi="David"/>
          <w:noProof w:val="0"/>
          <w:rtl/>
        </w:rPr>
        <w:t>לפחות. דבר שלא מתקיים במקרה דנן, מחמת התייצבות התובע לבית הספר ביום 24.05.21 ו- 26.05.21.</w:t>
      </w:r>
    </w:p>
    <w:p w:rsidR="00F87D79" w:rsidRDefault="00F87D79" w:rsidP="00F87D79">
      <w:pPr>
        <w:numPr>
          <w:ilvl w:val="0"/>
          <w:numId w:val="1"/>
        </w:numPr>
        <w:spacing w:after="160" w:line="360" w:lineRule="auto"/>
        <w:ind w:left="340"/>
        <w:contextualSpacing/>
        <w:jc w:val="both"/>
        <w:rPr>
          <w:rFonts w:ascii="David" w:hAnsi="David"/>
          <w:noProof w:val="0"/>
        </w:rPr>
      </w:pPr>
      <w:r>
        <w:rPr>
          <w:rFonts w:ascii="David" w:hAnsi="David"/>
          <w:noProof w:val="0"/>
          <w:rtl/>
        </w:rPr>
        <w:t xml:space="preserve">למעלה מן הצורך, יצוין כי התובע בכתב התביעה עתר לחיוב הנתבעת בגין 30 ימים בפריט זה של "נכות זמנית ", ומכאן שטענותיו </w:t>
      </w:r>
      <w:r w:rsidR="00A21B19">
        <w:rPr>
          <w:rFonts w:ascii="David" w:hAnsi="David" w:hint="cs"/>
          <w:noProof w:val="0"/>
          <w:rtl/>
        </w:rPr>
        <w:t xml:space="preserve">בסיכומים </w:t>
      </w:r>
      <w:r>
        <w:rPr>
          <w:rFonts w:ascii="David" w:hAnsi="David"/>
          <w:noProof w:val="0"/>
          <w:rtl/>
        </w:rPr>
        <w:t>לתקופה שמעבר לכך מהווה הרחבת חזית אסורה, וממילא תקופת 30 ימים לא מקנה זכות לתגמולי ביטוח עפ"י הפוליסה במרכיב "נכות זמנית".</w:t>
      </w:r>
    </w:p>
    <w:p w:rsidR="00F87D79" w:rsidRDefault="00F87D79" w:rsidP="00F87D79">
      <w:pPr>
        <w:numPr>
          <w:ilvl w:val="0"/>
          <w:numId w:val="1"/>
        </w:numPr>
        <w:spacing w:after="160" w:line="360" w:lineRule="auto"/>
        <w:ind w:left="340"/>
        <w:contextualSpacing/>
        <w:jc w:val="both"/>
        <w:rPr>
          <w:rFonts w:ascii="David" w:hAnsi="David"/>
          <w:b/>
          <w:bCs/>
          <w:noProof w:val="0"/>
          <w:u w:val="single"/>
        </w:rPr>
      </w:pPr>
      <w:r>
        <w:rPr>
          <w:rFonts w:ascii="David" w:hAnsi="David"/>
          <w:noProof w:val="0"/>
          <w:rtl/>
        </w:rPr>
        <w:t>לאור האמור, תביעת התובע בכל הנוגע למרכיב הנכות הזמנית דינה לה</w:t>
      </w:r>
      <w:r w:rsidR="00A21B19">
        <w:rPr>
          <w:rFonts w:ascii="David" w:hAnsi="David" w:hint="cs"/>
          <w:noProof w:val="0"/>
          <w:rtl/>
        </w:rPr>
        <w:t>י</w:t>
      </w:r>
      <w:r>
        <w:rPr>
          <w:rFonts w:ascii="David" w:hAnsi="David"/>
          <w:noProof w:val="0"/>
          <w:rtl/>
        </w:rPr>
        <w:t>דחות.</w:t>
      </w:r>
    </w:p>
    <w:p w:rsidR="00F87D79" w:rsidRDefault="00F87D79" w:rsidP="00F87D79">
      <w:pPr>
        <w:numPr>
          <w:ilvl w:val="0"/>
          <w:numId w:val="1"/>
        </w:numPr>
        <w:spacing w:after="160" w:line="360" w:lineRule="auto"/>
        <w:ind w:left="340"/>
        <w:contextualSpacing/>
        <w:jc w:val="both"/>
        <w:rPr>
          <w:rFonts w:ascii="David" w:hAnsi="David"/>
          <w:b/>
          <w:bCs/>
          <w:noProof w:val="0"/>
          <w:u w:val="single"/>
        </w:rPr>
      </w:pPr>
      <w:r>
        <w:rPr>
          <w:rFonts w:ascii="David" w:hAnsi="David"/>
          <w:noProof w:val="0"/>
          <w:rtl/>
        </w:rPr>
        <w:t xml:space="preserve">אשר לימי האשפוז, ובהתאם לסיפא לסעיף 2.א.4 לפוליסה, זכאי, לכאורה, התובע לתוספת בשיעור 50% לפיצוי היומי בגין כל יום אשפוז. אולם, הסיפא לסעיף 2.א.4 כפוף לרישא של אותו סעיף ובבסיסו דרישת תקופת נכות זמנית </w:t>
      </w:r>
      <w:r>
        <w:rPr>
          <w:rFonts w:ascii="David" w:hAnsi="David"/>
          <w:b/>
          <w:bCs/>
          <w:noProof w:val="0"/>
          <w:rtl/>
        </w:rPr>
        <w:t>רצופה</w:t>
      </w:r>
      <w:r>
        <w:rPr>
          <w:rFonts w:ascii="David" w:hAnsi="David"/>
          <w:noProof w:val="0"/>
          <w:rtl/>
        </w:rPr>
        <w:t xml:space="preserve"> של 55 ימים לפחות. משלא התקיים התנאי ברישא לסעיף זה בפוליסה, כאמור לעיל, הרי שדין מרכיב זה לה</w:t>
      </w:r>
      <w:r w:rsidR="00A21B19">
        <w:rPr>
          <w:rFonts w:ascii="David" w:hAnsi="David" w:hint="cs"/>
          <w:noProof w:val="0"/>
          <w:rtl/>
        </w:rPr>
        <w:t>י</w:t>
      </w:r>
      <w:r>
        <w:rPr>
          <w:rFonts w:ascii="David" w:hAnsi="David"/>
          <w:noProof w:val="0"/>
          <w:rtl/>
        </w:rPr>
        <w:t>דחות אף הוא..</w:t>
      </w:r>
    </w:p>
    <w:p w:rsidR="00F87D79" w:rsidRPr="00A21B19" w:rsidRDefault="00F87D79" w:rsidP="00A21B19">
      <w:pPr>
        <w:numPr>
          <w:ilvl w:val="0"/>
          <w:numId w:val="1"/>
        </w:numPr>
        <w:spacing w:after="160" w:line="360" w:lineRule="auto"/>
        <w:ind w:left="340"/>
        <w:contextualSpacing/>
        <w:jc w:val="both"/>
        <w:rPr>
          <w:rFonts w:ascii="David" w:hAnsi="David"/>
          <w:noProof w:val="0"/>
        </w:rPr>
      </w:pPr>
      <w:r>
        <w:rPr>
          <w:rFonts w:ascii="David" w:hAnsi="David"/>
          <w:noProof w:val="0"/>
          <w:rtl/>
        </w:rPr>
        <w:t xml:space="preserve">לעניין ההוצאות </w:t>
      </w:r>
      <w:r w:rsidR="00A21B19">
        <w:rPr>
          <w:rFonts w:ascii="David" w:hAnsi="David" w:hint="cs"/>
          <w:noProof w:val="0"/>
          <w:rtl/>
        </w:rPr>
        <w:t xml:space="preserve">("המוכחות") </w:t>
      </w:r>
      <w:r>
        <w:rPr>
          <w:rFonts w:ascii="David" w:hAnsi="David"/>
          <w:noProof w:val="0"/>
          <w:rtl/>
        </w:rPr>
        <w:t xml:space="preserve">ובהתאם לתנאי הפוליסה – סעיף 2.א.5, הרי שפריט זה של </w:t>
      </w:r>
      <w:r>
        <w:rPr>
          <w:rFonts w:ascii="David" w:hAnsi="David"/>
          <w:b/>
          <w:bCs/>
          <w:noProof w:val="0"/>
          <w:rtl/>
        </w:rPr>
        <w:t>הוצאות בגין ייעוץ רפואי לקביעת אחוזי נכות</w:t>
      </w:r>
      <w:r>
        <w:rPr>
          <w:rFonts w:ascii="David" w:hAnsi="David"/>
          <w:noProof w:val="0"/>
          <w:rtl/>
        </w:rPr>
        <w:t xml:space="preserve"> מוחרג עפ"י תנאי  הפוליסה. מכאן, שלא קמה לתובע זכאות להחזר הוצאות אלו</w:t>
      </w:r>
      <w:r w:rsidRPr="00A21B19">
        <w:rPr>
          <w:rFonts w:ascii="David" w:hAnsi="David"/>
          <w:noProof w:val="0"/>
          <w:rtl/>
        </w:rPr>
        <w:t>.</w:t>
      </w:r>
      <w:r w:rsidR="00A21B19" w:rsidRPr="00A21B19">
        <w:rPr>
          <w:rFonts w:ascii="David" w:hAnsi="David" w:hint="cs"/>
          <w:noProof w:val="0"/>
          <w:rtl/>
        </w:rPr>
        <w:t xml:space="preserve"> יצויין עוד</w:t>
      </w:r>
      <w:r w:rsidR="00A21B19">
        <w:rPr>
          <w:rFonts w:ascii="David" w:hAnsi="David" w:hint="cs"/>
          <w:noProof w:val="0"/>
          <w:rtl/>
        </w:rPr>
        <w:t>,</w:t>
      </w:r>
      <w:r w:rsidR="00A21B19" w:rsidRPr="00A21B19">
        <w:rPr>
          <w:rFonts w:ascii="David" w:hAnsi="David" w:hint="cs"/>
          <w:noProof w:val="0"/>
          <w:rtl/>
        </w:rPr>
        <w:t xml:space="preserve"> כי ממילא לא צורפה קבלה </w:t>
      </w:r>
      <w:r w:rsidR="00A21B19">
        <w:rPr>
          <w:rFonts w:ascii="David" w:hAnsi="David" w:hint="cs"/>
          <w:noProof w:val="0"/>
          <w:rtl/>
        </w:rPr>
        <w:t>המעידה</w:t>
      </w:r>
      <w:r w:rsidR="00A21B19" w:rsidRPr="00A21B19">
        <w:rPr>
          <w:rFonts w:ascii="David" w:hAnsi="David" w:hint="cs"/>
          <w:noProof w:val="0"/>
          <w:rtl/>
        </w:rPr>
        <w:t xml:space="preserve"> </w:t>
      </w:r>
      <w:r w:rsidR="00A21B19">
        <w:rPr>
          <w:rFonts w:ascii="David" w:hAnsi="David" w:hint="cs"/>
          <w:noProof w:val="0"/>
          <w:rtl/>
        </w:rPr>
        <w:t xml:space="preserve">על תשלום </w:t>
      </w:r>
      <w:r w:rsidR="00A21B19" w:rsidRPr="00A21B19">
        <w:rPr>
          <w:rFonts w:ascii="David" w:hAnsi="David" w:hint="cs"/>
          <w:noProof w:val="0"/>
          <w:rtl/>
        </w:rPr>
        <w:t>הוצאות כאלה או אחרות.</w:t>
      </w:r>
    </w:p>
    <w:p w:rsidR="00F87D79" w:rsidRDefault="00F87D79" w:rsidP="00F87D79">
      <w:pPr>
        <w:numPr>
          <w:ilvl w:val="0"/>
          <w:numId w:val="1"/>
        </w:numPr>
        <w:spacing w:after="160" w:line="360" w:lineRule="auto"/>
        <w:ind w:left="340"/>
        <w:contextualSpacing/>
        <w:jc w:val="both"/>
        <w:rPr>
          <w:rFonts w:ascii="David" w:hAnsi="David"/>
          <w:b/>
          <w:bCs/>
          <w:noProof w:val="0"/>
          <w:u w:val="single"/>
        </w:rPr>
      </w:pPr>
      <w:r w:rsidRPr="00A21B19">
        <w:rPr>
          <w:rFonts w:ascii="David" w:hAnsi="David"/>
          <w:b/>
          <w:bCs/>
          <w:noProof w:val="0"/>
          <w:rtl/>
        </w:rPr>
        <w:t>אשר להוצאות המשפט</w:t>
      </w:r>
      <w:r>
        <w:rPr>
          <w:rFonts w:ascii="David" w:hAnsi="David"/>
          <w:noProof w:val="0"/>
          <w:rtl/>
        </w:rPr>
        <w:t xml:space="preserve"> – מצאתי טעם של ממש בטענות הנתבעת בכל הנוגע לנוהל התביעות הקבוע בסעיף 5 לפוליסה (להלן: "</w:t>
      </w:r>
      <w:r>
        <w:rPr>
          <w:rFonts w:ascii="David" w:hAnsi="David"/>
          <w:b/>
          <w:bCs/>
          <w:noProof w:val="0"/>
          <w:rtl/>
        </w:rPr>
        <w:t>הנוהל</w:t>
      </w:r>
      <w:r>
        <w:rPr>
          <w:rFonts w:ascii="David" w:hAnsi="David"/>
          <w:noProof w:val="0"/>
          <w:rtl/>
        </w:rPr>
        <w:t>"). ואבהיר.</w:t>
      </w:r>
    </w:p>
    <w:p w:rsidR="00F87D79" w:rsidRDefault="00F87D79" w:rsidP="00F87D79">
      <w:pPr>
        <w:pStyle w:val="Ruller40"/>
        <w:numPr>
          <w:ilvl w:val="0"/>
          <w:numId w:val="1"/>
        </w:numPr>
        <w:ind w:left="357" w:hanging="357"/>
        <w:rPr>
          <w:rFonts w:ascii="David" w:hAnsi="David" w:cs="David"/>
          <w:spacing w:val="-6"/>
          <w:sz w:val="24"/>
          <w:szCs w:val="24"/>
        </w:rPr>
      </w:pPr>
      <w:r>
        <w:rPr>
          <w:rFonts w:ascii="David" w:hAnsi="David" w:cs="David"/>
          <w:spacing w:val="-6"/>
          <w:sz w:val="24"/>
          <w:szCs w:val="24"/>
          <w:rtl/>
        </w:rPr>
        <w:t xml:space="preserve">בחינת לשון הנוהל וההליך המתואר בו, כפשוטם, מעלה כי המבוטח אינו נדרש להוכיח באופן מלא את שיעור נכותו הרפואית עם הגשת התביעה למבטחת, שהרי נוהל התביעות אינו נוקט בלשון של "חוות דעת רפואית" (על כל המשתמע ממינוח זה לפי </w:t>
      </w:r>
      <w:hyperlink r:id="rId9" w:history="1">
        <w:r>
          <w:rPr>
            <w:rStyle w:val="Hyperlink"/>
            <w:rFonts w:ascii="David" w:hAnsi="David" w:cs="David"/>
            <w:spacing w:val="-6"/>
            <w:sz w:val="24"/>
            <w:szCs w:val="24"/>
            <w:rtl/>
          </w:rPr>
          <w:t>סעיף 24</w:t>
        </w:r>
      </w:hyperlink>
      <w:r>
        <w:rPr>
          <w:rFonts w:ascii="David" w:hAnsi="David" w:cs="David"/>
          <w:spacing w:val="-6"/>
          <w:sz w:val="24"/>
          <w:szCs w:val="24"/>
          <w:rtl/>
        </w:rPr>
        <w:t xml:space="preserve"> ל</w:t>
      </w:r>
      <w:hyperlink r:id="rId10" w:history="1">
        <w:r>
          <w:rPr>
            <w:rStyle w:val="Hyperlink"/>
            <w:rFonts w:ascii="David" w:hAnsi="David" w:cs="David"/>
            <w:spacing w:val="-6"/>
            <w:sz w:val="24"/>
            <w:szCs w:val="24"/>
            <w:rtl/>
          </w:rPr>
          <w:t>פקודת הראיות</w:t>
        </w:r>
      </w:hyperlink>
      <w:r>
        <w:rPr>
          <w:rFonts w:ascii="David" w:hAnsi="David" w:cs="David"/>
          <w:spacing w:val="-6"/>
          <w:sz w:val="24"/>
          <w:szCs w:val="24"/>
          <w:rtl/>
        </w:rPr>
        <w:t xml:space="preserve"> [נוסח חדש], התשל"א-1971), אלא מסתפק ב</w:t>
      </w:r>
      <w:r>
        <w:rPr>
          <w:rFonts w:ascii="David" w:hAnsi="David" w:cs="David"/>
          <w:b/>
          <w:spacing w:val="-6"/>
          <w:sz w:val="24"/>
          <w:szCs w:val="24"/>
          <w:rtl/>
        </w:rPr>
        <w:t>"מסמכים רפואיים מתאימים"</w:t>
      </w:r>
      <w:r>
        <w:rPr>
          <w:rFonts w:ascii="David" w:hAnsi="David" w:cs="David"/>
          <w:spacing w:val="-6"/>
          <w:sz w:val="24"/>
          <w:szCs w:val="24"/>
          <w:rtl/>
        </w:rPr>
        <w:t xml:space="preserve"> התומכים בתביעה. </w:t>
      </w:r>
    </w:p>
    <w:p w:rsidR="00F87D79" w:rsidRDefault="00F87D79" w:rsidP="00F87D79">
      <w:pPr>
        <w:pStyle w:val="Ruller40"/>
        <w:numPr>
          <w:ilvl w:val="0"/>
          <w:numId w:val="1"/>
        </w:numPr>
        <w:ind w:left="357" w:hanging="357"/>
        <w:rPr>
          <w:rFonts w:ascii="David" w:hAnsi="David" w:cs="David"/>
          <w:spacing w:val="-6"/>
          <w:sz w:val="24"/>
          <w:szCs w:val="24"/>
        </w:rPr>
      </w:pPr>
      <w:r>
        <w:rPr>
          <w:rFonts w:ascii="David" w:hAnsi="David" w:cs="David"/>
          <w:spacing w:val="-6"/>
          <w:sz w:val="24"/>
          <w:szCs w:val="24"/>
          <w:rtl/>
        </w:rPr>
        <w:t>נדמה, אם כן, כי על-מנת שהמבטחת תפנה את המבוטח לבדיקת רופא מטעמה, הוא אינו נדרש לצרף לתביעתו מסמכים רפואיים המבססים את שיעור</w:t>
      </w:r>
      <w:r>
        <w:rPr>
          <w:rFonts w:ascii="David" w:hAnsi="David" w:cs="David"/>
          <w:b/>
          <w:spacing w:val="-6"/>
          <w:sz w:val="24"/>
          <w:szCs w:val="24"/>
          <w:rtl/>
        </w:rPr>
        <w:t xml:space="preserve"> </w:t>
      </w:r>
      <w:r>
        <w:rPr>
          <w:rFonts w:ascii="David" w:hAnsi="David" w:cs="David"/>
          <w:spacing w:val="-6"/>
          <w:sz w:val="24"/>
          <w:szCs w:val="24"/>
          <w:rtl/>
        </w:rPr>
        <w:t xml:space="preserve">הנכות שנגרמה לו כתוצאה ממקרה הביטוח, אלא אך מסמכים המעידים על אפשרות ממשית לקיומה של הנכות הנטענת. (ראו להלן : רע"א 3046/18 </w:t>
      </w:r>
      <w:r>
        <w:rPr>
          <w:rFonts w:ascii="David" w:hAnsi="David" w:cs="David"/>
          <w:b/>
          <w:bCs/>
          <w:spacing w:val="-6"/>
          <w:sz w:val="24"/>
          <w:szCs w:val="24"/>
          <w:rtl/>
        </w:rPr>
        <w:t>פלוני נ' כלל חברה לביטוח בע"מ</w:t>
      </w:r>
      <w:r>
        <w:rPr>
          <w:rFonts w:ascii="David" w:hAnsi="David" w:cs="David"/>
          <w:spacing w:val="-6"/>
          <w:sz w:val="24"/>
          <w:szCs w:val="24"/>
          <w:rtl/>
        </w:rPr>
        <w:t xml:space="preserve"> (פורסם במאגר "נבו" – להלן : "</w:t>
      </w:r>
      <w:r>
        <w:rPr>
          <w:rFonts w:ascii="David" w:hAnsi="David" w:cs="David"/>
          <w:b/>
          <w:bCs/>
          <w:spacing w:val="-6"/>
          <w:sz w:val="24"/>
          <w:szCs w:val="24"/>
          <w:rtl/>
        </w:rPr>
        <w:t>עניין פלוני</w:t>
      </w:r>
      <w:r>
        <w:rPr>
          <w:rFonts w:ascii="David" w:hAnsi="David" w:cs="David"/>
          <w:spacing w:val="-6"/>
          <w:sz w:val="24"/>
          <w:szCs w:val="24"/>
          <w:rtl/>
        </w:rPr>
        <w:t>").</w:t>
      </w:r>
    </w:p>
    <w:p w:rsidR="00F87D79" w:rsidRDefault="00F87D79" w:rsidP="00A21B19">
      <w:pPr>
        <w:numPr>
          <w:ilvl w:val="0"/>
          <w:numId w:val="1"/>
        </w:numPr>
        <w:spacing w:after="160" w:line="360" w:lineRule="auto"/>
        <w:ind w:left="340"/>
        <w:contextualSpacing/>
        <w:jc w:val="both"/>
        <w:rPr>
          <w:rFonts w:ascii="David" w:hAnsi="David"/>
          <w:noProof w:val="0"/>
          <w:rtl/>
        </w:rPr>
      </w:pPr>
      <w:r>
        <w:rPr>
          <w:rFonts w:ascii="David" w:hAnsi="David"/>
          <w:noProof w:val="0"/>
          <w:rtl/>
        </w:rPr>
        <w:t xml:space="preserve">בעניין </w:t>
      </w:r>
      <w:r>
        <w:rPr>
          <w:rFonts w:ascii="David" w:hAnsi="David"/>
          <w:b/>
          <w:bCs/>
          <w:noProof w:val="0"/>
          <w:rtl/>
        </w:rPr>
        <w:t>פלוני</w:t>
      </w:r>
      <w:r>
        <w:rPr>
          <w:rFonts w:ascii="David" w:hAnsi="David"/>
          <w:noProof w:val="0"/>
          <w:rtl/>
        </w:rPr>
        <w:t xml:space="preserve"> הנ"ל נערך ניתוח מקיף של הפעלת הנוהל והשלכותיו, לרבות אי הפעלת הנוהל בכל הנוגע לשקול דעתה של המבטחת והשלכתה על מינוי מומחה רפואי מטעם בית המשפט.</w:t>
      </w:r>
    </w:p>
    <w:p w:rsidR="00F87D79" w:rsidRDefault="00F87D79" w:rsidP="00F87D79">
      <w:pPr>
        <w:numPr>
          <w:ilvl w:val="0"/>
          <w:numId w:val="1"/>
        </w:numPr>
        <w:spacing w:after="160" w:line="360" w:lineRule="auto"/>
        <w:ind w:left="340"/>
        <w:contextualSpacing/>
        <w:jc w:val="both"/>
        <w:rPr>
          <w:rFonts w:ascii="David" w:hAnsi="David"/>
          <w:noProof w:val="0"/>
        </w:rPr>
      </w:pPr>
      <w:r>
        <w:rPr>
          <w:rFonts w:ascii="David" w:hAnsi="David"/>
          <w:noProof w:val="0"/>
          <w:rtl/>
        </w:rPr>
        <w:t>בענייננו, התובע לא הראה כי פנה אל הנתבעת בניסיון להפעיל את הנוהל, ורק משסורב בחר בהגשת התובענה אליה צורפה חוות דעת המומחה מטעמו. משכך, סבורני כי אין מקום לפסוק לתובע הוצאות בגין עלות המומחה הרפואי מטעמו.</w:t>
      </w:r>
    </w:p>
    <w:p w:rsidR="00F87D79" w:rsidRDefault="00F87D79" w:rsidP="00D948B6">
      <w:pPr>
        <w:numPr>
          <w:ilvl w:val="0"/>
          <w:numId w:val="1"/>
        </w:numPr>
        <w:spacing w:after="160" w:line="360" w:lineRule="auto"/>
        <w:ind w:left="340"/>
        <w:contextualSpacing/>
        <w:jc w:val="both"/>
        <w:rPr>
          <w:rFonts w:ascii="David" w:hAnsi="David"/>
          <w:noProof w:val="0"/>
        </w:rPr>
      </w:pPr>
      <w:r>
        <w:rPr>
          <w:rFonts w:ascii="David" w:hAnsi="David"/>
          <w:noProof w:val="0"/>
          <w:rtl/>
        </w:rPr>
        <w:lastRenderedPageBreak/>
        <w:t xml:space="preserve">להבנתי, פניה מוקדמת למבטחת, לשם הפעלת נוהל התביעות </w:t>
      </w:r>
      <w:r w:rsidR="00D948B6">
        <w:rPr>
          <w:rFonts w:ascii="David" w:hAnsi="David" w:hint="cs"/>
          <w:noProof w:val="0"/>
          <w:rtl/>
        </w:rPr>
        <w:t>הינה ראויה ביותר</w:t>
      </w:r>
      <w:r>
        <w:rPr>
          <w:rFonts w:ascii="David" w:hAnsi="David"/>
          <w:noProof w:val="0"/>
          <w:rtl/>
        </w:rPr>
        <w:t xml:space="preserve"> הן מכח סעיף 39 לחוק החוזים (חלק כללי) תשל"ג 1973, והן מחמת חובתו הכללית של המבוטח להקטנת הנזק.</w:t>
      </w:r>
    </w:p>
    <w:p w:rsidR="00F87D79" w:rsidRDefault="00F87D79" w:rsidP="00F87D79">
      <w:pPr>
        <w:numPr>
          <w:ilvl w:val="0"/>
          <w:numId w:val="1"/>
        </w:numPr>
        <w:spacing w:after="160" w:line="360" w:lineRule="auto"/>
        <w:ind w:left="340"/>
        <w:contextualSpacing/>
        <w:jc w:val="both"/>
        <w:rPr>
          <w:rFonts w:ascii="David" w:hAnsi="David"/>
          <w:noProof w:val="0"/>
        </w:rPr>
      </w:pPr>
      <w:r>
        <w:rPr>
          <w:rFonts w:ascii="David" w:hAnsi="David"/>
          <w:noProof w:val="0"/>
          <w:rtl/>
        </w:rPr>
        <w:t xml:space="preserve">אף משיקולי מדיניות, סבורני כי הפעלת הנוהל </w:t>
      </w:r>
      <w:r w:rsidR="00D948B6">
        <w:rPr>
          <w:rFonts w:ascii="David" w:hAnsi="David" w:hint="cs"/>
          <w:noProof w:val="0"/>
          <w:rtl/>
        </w:rPr>
        <w:t xml:space="preserve">הקבוע בסעיף 5 לפוליסה </w:t>
      </w:r>
      <w:r>
        <w:rPr>
          <w:rFonts w:ascii="David" w:hAnsi="David"/>
          <w:noProof w:val="0"/>
          <w:rtl/>
        </w:rPr>
        <w:t>בתום לב ע"י שני הצדדים לחוזה הביטוח עולה בקנה אחד עם התכליות העומדות בבסיס תקנות סדר הדין האזרחי תשע"ט 2018 (להלן: "</w:t>
      </w:r>
      <w:r>
        <w:rPr>
          <w:rFonts w:ascii="David" w:hAnsi="David"/>
          <w:b/>
          <w:bCs/>
          <w:noProof w:val="0"/>
          <w:rtl/>
        </w:rPr>
        <w:t>התקנות</w:t>
      </w:r>
      <w:r>
        <w:rPr>
          <w:rFonts w:ascii="David" w:hAnsi="David"/>
          <w:noProof w:val="0"/>
          <w:rtl/>
        </w:rPr>
        <w:t>"), ובכלל זה סיוע למימוש התכלית הדיונית תוך העמדת הפלוגתות האמיתיות שבמחלוקת בין בעלי הדין, חסכון בזמן שיפוטי יקר ואיזון למול האינטרס הציבורי של ציבור המתדיינים.</w:t>
      </w:r>
    </w:p>
    <w:p w:rsidR="00F87D79" w:rsidRDefault="00F87D79" w:rsidP="00F87D79">
      <w:pPr>
        <w:numPr>
          <w:ilvl w:val="0"/>
          <w:numId w:val="1"/>
        </w:numPr>
        <w:spacing w:after="160" w:line="360" w:lineRule="auto"/>
        <w:ind w:left="340"/>
        <w:contextualSpacing/>
        <w:jc w:val="both"/>
        <w:rPr>
          <w:rFonts w:ascii="David" w:hAnsi="David"/>
          <w:noProof w:val="0"/>
        </w:rPr>
      </w:pPr>
      <w:r>
        <w:rPr>
          <w:rFonts w:ascii="David" w:hAnsi="David"/>
          <w:noProof w:val="0"/>
          <w:rtl/>
        </w:rPr>
        <w:t xml:space="preserve">יחד עם זאת, משהוגשה התביעה, והנתבעת לא עמדה על זכותה לאכיפת הנוהל, אלא הוסיפה להתנהל בהליך המשפטי הרגיל ולא טרחה להעלות טענות בנוגע לנוהל, אזי בכל הנוגע לעלות המומחה שמונה מטעם בית המשפט אין </w:t>
      </w:r>
      <w:r w:rsidR="00D948B6">
        <w:rPr>
          <w:rFonts w:ascii="David" w:hAnsi="David" w:hint="cs"/>
          <w:noProof w:val="0"/>
          <w:rtl/>
        </w:rPr>
        <w:t xml:space="preserve">בידי </w:t>
      </w:r>
      <w:r>
        <w:rPr>
          <w:rFonts w:ascii="David" w:hAnsi="David"/>
          <w:noProof w:val="0"/>
          <w:rtl/>
        </w:rPr>
        <w:t>לקבל את טענתה.</w:t>
      </w:r>
    </w:p>
    <w:p w:rsidR="00F87D79" w:rsidRDefault="00F87D79" w:rsidP="00F87D79">
      <w:pPr>
        <w:numPr>
          <w:ilvl w:val="0"/>
          <w:numId w:val="1"/>
        </w:numPr>
        <w:spacing w:after="160" w:line="360" w:lineRule="auto"/>
        <w:ind w:left="340"/>
        <w:contextualSpacing/>
        <w:jc w:val="both"/>
        <w:rPr>
          <w:rFonts w:ascii="David" w:hAnsi="David"/>
          <w:noProof w:val="0"/>
        </w:rPr>
      </w:pPr>
      <w:r>
        <w:rPr>
          <w:rFonts w:ascii="David" w:hAnsi="David"/>
          <w:noProof w:val="0"/>
          <w:rtl/>
        </w:rPr>
        <w:t>חוות דעת המומחה אמנם מקבלת את עמדת מומחה הנתבעת בכל הנוגע לשיעור הנכות הצמיתה שנקבעה לתובע בתחום האורטופדי, אולם אין בכך כדי לשלול מהתובע את זכותו לשיפוי בגין הוצאות בדמות חלקו בעלות חוות דעת המומחה מטעם בית המשפט.</w:t>
      </w:r>
    </w:p>
    <w:p w:rsidR="00F87D79" w:rsidRDefault="00F87D79" w:rsidP="00F87D79">
      <w:pPr>
        <w:numPr>
          <w:ilvl w:val="0"/>
          <w:numId w:val="1"/>
        </w:numPr>
        <w:spacing w:after="160" w:line="360" w:lineRule="auto"/>
        <w:ind w:left="340"/>
        <w:contextualSpacing/>
        <w:jc w:val="both"/>
        <w:rPr>
          <w:rFonts w:ascii="David" w:hAnsi="David"/>
          <w:noProof w:val="0"/>
        </w:rPr>
      </w:pPr>
      <w:r>
        <w:rPr>
          <w:rFonts w:ascii="David" w:hAnsi="David"/>
          <w:noProof w:val="0"/>
          <w:rtl/>
        </w:rPr>
        <w:t>ודוק, הנתבעת לא התנגדה למינוי המומחה מטעם בית המשפט, ואף לא הודיעה כי נוכח קביעת המומחה מטעמה נאותה היא לשלם סכום שאינו שנוי במחלוקת, קרי לפי נכות בשעור של 10%.</w:t>
      </w:r>
    </w:p>
    <w:p w:rsidR="00F87D79" w:rsidRDefault="00F87D79" w:rsidP="00F87D79">
      <w:pPr>
        <w:numPr>
          <w:ilvl w:val="0"/>
          <w:numId w:val="1"/>
        </w:numPr>
        <w:spacing w:after="160" w:line="360" w:lineRule="auto"/>
        <w:ind w:left="340"/>
        <w:contextualSpacing/>
        <w:jc w:val="both"/>
        <w:rPr>
          <w:rFonts w:ascii="David" w:hAnsi="David"/>
          <w:noProof w:val="0"/>
        </w:rPr>
      </w:pPr>
      <w:r>
        <w:rPr>
          <w:rFonts w:ascii="David" w:hAnsi="David"/>
          <w:noProof w:val="0"/>
          <w:rtl/>
        </w:rPr>
        <w:t>למעלה מן הצורך אציין, כי המומחה אף קבע כי נותרה לתובע נכות אסתטית ודי בכך ללמד כי איננו תמים דעים לחלוטין עם קביעות המומחה מטעם הנתבעת.</w:t>
      </w:r>
    </w:p>
    <w:p w:rsidR="00F87D79" w:rsidRDefault="00F87D79" w:rsidP="00F87D79">
      <w:pPr>
        <w:numPr>
          <w:ilvl w:val="0"/>
          <w:numId w:val="1"/>
        </w:numPr>
        <w:spacing w:after="160" w:line="360" w:lineRule="auto"/>
        <w:ind w:left="340"/>
        <w:contextualSpacing/>
        <w:jc w:val="both"/>
        <w:rPr>
          <w:rFonts w:ascii="David" w:hAnsi="David"/>
          <w:b/>
          <w:bCs/>
          <w:noProof w:val="0"/>
        </w:rPr>
      </w:pPr>
      <w:r>
        <w:rPr>
          <w:rFonts w:ascii="David" w:hAnsi="David"/>
          <w:b/>
          <w:bCs/>
          <w:noProof w:val="0"/>
          <w:rtl/>
        </w:rPr>
        <w:t>סופו של דבר, רק לאחר קבלת חוות דעת המומחה מטעם בית המשפט, ובמסגרת סיכומיה, הודתה הנתבעת בזכות התובע לתגמולי ביטוח בסכום ההולם דרגת נכות בשיעור 10%, כפי קביעת המומחה.</w:t>
      </w:r>
    </w:p>
    <w:p w:rsidR="00F87D79" w:rsidRDefault="00F87D79" w:rsidP="00F87D79">
      <w:pPr>
        <w:numPr>
          <w:ilvl w:val="0"/>
          <w:numId w:val="1"/>
        </w:numPr>
        <w:spacing w:after="160" w:line="360" w:lineRule="auto"/>
        <w:ind w:left="340"/>
        <w:contextualSpacing/>
        <w:jc w:val="both"/>
        <w:rPr>
          <w:rFonts w:ascii="David" w:hAnsi="David"/>
          <w:b/>
          <w:bCs/>
          <w:noProof w:val="0"/>
        </w:rPr>
      </w:pPr>
      <w:r>
        <w:rPr>
          <w:rFonts w:ascii="David" w:hAnsi="David"/>
          <w:noProof w:val="0"/>
          <w:rtl/>
        </w:rPr>
        <w:t xml:space="preserve">לאור האמור, סבורני כי יש לחייב הנתבעת בחלק שכר טרחת המומחה ששולם ע"י התובע, </w:t>
      </w:r>
      <w:r>
        <w:rPr>
          <w:rFonts w:ascii="David" w:hAnsi="David"/>
          <w:b/>
          <w:bCs/>
          <w:noProof w:val="0"/>
          <w:rtl/>
        </w:rPr>
        <w:t>בסך 2,691 ₪.</w:t>
      </w:r>
    </w:p>
    <w:p w:rsidR="00F87D79" w:rsidRDefault="00F87D79" w:rsidP="00F87D79">
      <w:pPr>
        <w:numPr>
          <w:ilvl w:val="0"/>
          <w:numId w:val="1"/>
        </w:numPr>
        <w:spacing w:after="160" w:line="360" w:lineRule="auto"/>
        <w:ind w:left="340"/>
        <w:contextualSpacing/>
        <w:jc w:val="both"/>
        <w:rPr>
          <w:rFonts w:ascii="David" w:hAnsi="David"/>
          <w:noProof w:val="0"/>
        </w:rPr>
      </w:pPr>
      <w:r>
        <w:rPr>
          <w:rFonts w:ascii="David" w:hAnsi="David"/>
          <w:noProof w:val="0"/>
          <w:rtl/>
        </w:rPr>
        <w:t>אשר לשכ"ט בא-כוח התובע, לאחר ששקלתי השיקולים הצריכים לעניין, ובכלל זה תקנה 153 לתקנות, מצאתי לנכון להעמיד את שכר טרחת בא-כוח התובע ע"ס 6,000 ₪.</w:t>
      </w:r>
    </w:p>
    <w:p w:rsidR="00F87D79" w:rsidRDefault="00F87D79" w:rsidP="00F87D79">
      <w:pPr>
        <w:spacing w:after="160" w:line="360" w:lineRule="auto"/>
        <w:ind w:left="-20"/>
        <w:jc w:val="both"/>
        <w:rPr>
          <w:rFonts w:ascii="David" w:hAnsi="David"/>
          <w:b/>
          <w:bCs/>
          <w:noProof w:val="0"/>
          <w:u w:val="single"/>
        </w:rPr>
      </w:pPr>
      <w:r>
        <w:rPr>
          <w:rFonts w:ascii="David" w:hAnsi="David"/>
          <w:b/>
          <w:bCs/>
          <w:noProof w:val="0"/>
          <w:u w:val="single"/>
          <w:rtl/>
        </w:rPr>
        <w:t>סוף דבר</w:t>
      </w:r>
    </w:p>
    <w:p w:rsidR="00F87D79" w:rsidRDefault="00F87D79" w:rsidP="00F87D79">
      <w:pPr>
        <w:numPr>
          <w:ilvl w:val="0"/>
          <w:numId w:val="1"/>
        </w:numPr>
        <w:spacing w:after="160" w:line="360" w:lineRule="auto"/>
        <w:ind w:left="340"/>
        <w:contextualSpacing/>
        <w:jc w:val="both"/>
        <w:rPr>
          <w:rFonts w:ascii="David" w:hAnsi="David"/>
          <w:noProof w:val="0"/>
          <w:rtl/>
        </w:rPr>
      </w:pPr>
      <w:r>
        <w:rPr>
          <w:rFonts w:ascii="David" w:hAnsi="David"/>
          <w:noProof w:val="0"/>
          <w:rtl/>
        </w:rPr>
        <w:t>התביעה מתקבלת באופן חלקי.</w:t>
      </w:r>
    </w:p>
    <w:p w:rsidR="00F87D79" w:rsidRDefault="00F87D79" w:rsidP="00F87D79">
      <w:pPr>
        <w:numPr>
          <w:ilvl w:val="0"/>
          <w:numId w:val="1"/>
        </w:numPr>
        <w:spacing w:after="160" w:line="360" w:lineRule="auto"/>
        <w:ind w:left="340"/>
        <w:contextualSpacing/>
        <w:jc w:val="both"/>
        <w:rPr>
          <w:rFonts w:ascii="David" w:hAnsi="David"/>
          <w:noProof w:val="0"/>
          <w:rtl/>
        </w:rPr>
      </w:pPr>
      <w:r>
        <w:rPr>
          <w:rFonts w:ascii="David" w:hAnsi="David"/>
          <w:noProof w:val="0"/>
          <w:rtl/>
        </w:rPr>
        <w:t xml:space="preserve">הנתבעת תשלם לתובע תגמולי ביטוח בסך של </w:t>
      </w:r>
      <w:r>
        <w:rPr>
          <w:rFonts w:ascii="David" w:hAnsi="David"/>
          <w:b/>
          <w:bCs/>
          <w:noProof w:val="0"/>
          <w:rtl/>
        </w:rPr>
        <w:t>39,500 ₪</w:t>
      </w:r>
      <w:r>
        <w:rPr>
          <w:rFonts w:ascii="David" w:hAnsi="David"/>
          <w:noProof w:val="0"/>
          <w:rtl/>
        </w:rPr>
        <w:t xml:space="preserve"> בצרוף הצמדה וריבית מיום הגשת התביעה. לסכום זה יתווספו החזר אגרה ששולמה בסך 1,098 ₪, הוצאות משפט בסך 2,691, וכן שכ"ט עו"ד בסך 6,000 ₪.</w:t>
      </w:r>
    </w:p>
    <w:p w:rsidR="00F87D79" w:rsidRDefault="00F87D79" w:rsidP="00F87D79">
      <w:pPr>
        <w:numPr>
          <w:ilvl w:val="0"/>
          <w:numId w:val="1"/>
        </w:numPr>
        <w:spacing w:after="160" w:line="360" w:lineRule="auto"/>
        <w:ind w:left="340"/>
        <w:contextualSpacing/>
        <w:jc w:val="both"/>
        <w:rPr>
          <w:rFonts w:ascii="Arial" w:hAnsi="Arial"/>
          <w:noProof w:val="0"/>
        </w:rPr>
      </w:pPr>
      <w:r>
        <w:rPr>
          <w:rFonts w:ascii="David" w:hAnsi="David"/>
          <w:noProof w:val="0"/>
          <w:rtl/>
        </w:rPr>
        <w:t>הסכומים שלעיל ישולמו לתובע תוך 30 ימים מהיום</w:t>
      </w:r>
      <w:r>
        <w:rPr>
          <w:rFonts w:ascii="Arial" w:hAnsi="Arial"/>
          <w:noProof w:val="0"/>
          <w:rtl/>
        </w:rPr>
        <w:t>, שאם לא כן יישאו הפרשי הצמדה וריבית כחוק עד מועד התשלום בפועל.</w:t>
      </w:r>
    </w:p>
    <w:p w:rsidR="00F87D79" w:rsidRDefault="00F87D79" w:rsidP="00F87D79">
      <w:pPr>
        <w:pStyle w:val="ad"/>
        <w:numPr>
          <w:ilvl w:val="0"/>
          <w:numId w:val="1"/>
        </w:numPr>
        <w:spacing w:line="360" w:lineRule="auto"/>
        <w:ind w:left="340" w:hanging="357"/>
        <w:jc w:val="both"/>
        <w:rPr>
          <w:b/>
          <w:bCs/>
        </w:rPr>
      </w:pPr>
      <w:r>
        <w:rPr>
          <w:b/>
          <w:bCs/>
          <w:rtl/>
        </w:rPr>
        <w:lastRenderedPageBreak/>
        <w:t xml:space="preserve">מתוך הסך הנ"ל,  ב"כ התובע יפקיד סכום של 35,000 ₪ לכל הפחות בחשבון חסכון סגור על שם התובע-הקטין, עד הגיעו לגיל 18, כאשר בחשבון יצויין כי הכספים הם כספי הקטין ואין לבצע כל פעולה בחשבון טרם שימלאו לו 18 מבלי שיינתן לכך אישור בית המשפט המוסמך. </w:t>
      </w:r>
    </w:p>
    <w:p w:rsidR="00F87D79" w:rsidRDefault="00F87D79" w:rsidP="00F87D79">
      <w:pPr>
        <w:pStyle w:val="ad"/>
        <w:numPr>
          <w:ilvl w:val="0"/>
          <w:numId w:val="1"/>
        </w:numPr>
        <w:spacing w:line="360" w:lineRule="auto"/>
        <w:ind w:left="340" w:hanging="357"/>
        <w:jc w:val="both"/>
      </w:pPr>
      <w:r>
        <w:rPr>
          <w:rtl/>
        </w:rPr>
        <w:t>לאור אופן סיום ההליך, פוטר התובע מתשלום המחצית השניה של האגרה.</w:t>
      </w:r>
    </w:p>
    <w:p w:rsidR="00694556" w:rsidRPr="00F87D79"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י"ד אב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01 אוגוסט 2023</w:t>
          </w:r>
        </w:sdtContent>
      </w:sdt>
      <w:r w:rsidR="00005C8B">
        <w:rPr>
          <w:rFonts w:ascii="Arial" w:hAnsi="Arial"/>
          <w:noProof w:val="0"/>
          <w:rtl/>
        </w:rPr>
        <w:t>, בהעדר הצדדים.</w:t>
      </w:r>
    </w:p>
    <w:p w:rsidR="00C43648" w:rsidRDefault="00DD1479"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976451386"/>
        </w:sdtPr>
        <w:sdtEndPr/>
        <w:sdtContent>
          <w:r w:rsidR="00C84831">
            <w:drawing>
              <wp:inline distT="0" distB="0" distL="0" distR="0" wp14:editId="50D07946">
                <wp:extent cx="952499" cy="628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1" cstate="print">
                          <a:extLst/>
                        </a:blip>
                        <a:stretch>
                          <a:fillRect/>
                        </a:stretch>
                      </pic:blipFill>
                      <pic:spPr>
                        <a:xfrm>
                          <a:off x="0" y="0"/>
                          <a:ext cx="952499" cy="62865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even" r:id="rId12"/>
      <w:headerReference w:type="default" r:id="rId13"/>
      <w:footerReference w:type="even" r:id="rId14"/>
      <w:footerReference w:type="default" r:id="rId15"/>
      <w:headerReference w:type="first" r:id="rId16"/>
      <w:footerReference w:type="first" r:id="rId17"/>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1479" w:rsidRDefault="00DD1479">
      <w:r>
        <w:separator/>
      </w:r>
    </w:p>
  </w:endnote>
  <w:endnote w:type="continuationSeparator" w:id="0">
    <w:p w:rsidR="00DD1479" w:rsidRDefault="00DD1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altName w:val="Arial"/>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616FE1">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616FE1">
      <w:rPr>
        <w:rStyle w:val="ab"/>
        <w:rtl/>
      </w:rPr>
      <w:t>7</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1479" w:rsidRDefault="00DD1479">
      <w:r>
        <w:separator/>
      </w:r>
    </w:p>
  </w:footnote>
  <w:footnote w:type="continuationSeparator" w:id="0">
    <w:p w:rsidR="00DD1479" w:rsidRDefault="00DD14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3"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השלום בקריות</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DD1479" w:rsidP="007C2453">
          <w:pPr>
            <w:rPr>
              <w:b/>
              <w:bCs/>
              <w:noProof w:val="0"/>
              <w:sz w:val="26"/>
              <w:szCs w:val="26"/>
              <w:rtl/>
            </w:rPr>
          </w:pPr>
          <w:sdt>
            <w:sdtPr>
              <w:rPr>
                <w:rtl/>
              </w:rPr>
              <w:alias w:val="1170"/>
              <w:tag w:val="1170"/>
              <w:id w:val="1066377040"/>
              <w:text w:multiLine="1"/>
            </w:sdtPr>
            <w:sdtEndPr/>
            <w:sdtContent>
              <w:r w:rsidR="00B859C5">
                <w:rPr>
                  <w:b/>
                  <w:bCs/>
                  <w:noProof w:val="0"/>
                  <w:sz w:val="26"/>
                  <w:szCs w:val="26"/>
                  <w:rtl/>
                </w:rPr>
                <w:t>ת"א</w:t>
              </w:r>
            </w:sdtContent>
          </w:sdt>
          <w:r w:rsidR="00005C8B">
            <w:rPr>
              <w:b/>
              <w:bCs/>
              <w:noProof w:val="0"/>
              <w:sz w:val="26"/>
              <w:szCs w:val="26"/>
              <w:rtl/>
            </w:rPr>
            <w:t xml:space="preserve"> </w:t>
          </w:r>
          <w:bookmarkStart w:id="2" w:name="_GoBack"/>
          <w:sdt>
            <w:sdtPr>
              <w:rPr>
                <w:rtl/>
              </w:rPr>
              <w:alias w:val="1171"/>
              <w:tag w:val="1171"/>
              <w:id w:val="257034231"/>
              <w:text w:multiLine="1"/>
            </w:sdtPr>
            <w:sdtEndPr/>
            <w:sdtContent>
              <w:r w:rsidR="00B859C5">
                <w:rPr>
                  <w:b/>
                  <w:bCs/>
                  <w:noProof w:val="0"/>
                  <w:sz w:val="26"/>
                  <w:szCs w:val="26"/>
                  <w:rtl/>
                </w:rPr>
                <w:t>26519-05-22</w:t>
              </w:r>
            </w:sdtContent>
          </w:sdt>
          <w:bookmarkEnd w:id="2"/>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B859C5">
                <w:rPr>
                  <w:b/>
                  <w:bCs/>
                  <w:noProof w:val="0"/>
                  <w:sz w:val="26"/>
                  <w:szCs w:val="26"/>
                  <w:rtl/>
                </w:rPr>
                <w:t>פלוני נ' איילון חברה לביטוח בע"מ</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743CA6"/>
    <w:multiLevelType w:val="hybridMultilevel"/>
    <w:tmpl w:val="7A6E50A6"/>
    <w:lvl w:ilvl="0" w:tplc="4F32850A">
      <w:start w:val="1"/>
      <w:numFmt w:val="decimal"/>
      <w:lvlText w:val="%1."/>
      <w:lvlJc w:val="left"/>
      <w:pPr>
        <w:ind w:left="720" w:hanging="360"/>
      </w:pPr>
      <w:rPr>
        <w:rFonts w:ascii="David" w:hAnsi="David" w:cs="David"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22A9F"/>
    <w:rsid w:val="001367BC"/>
    <w:rsid w:val="00144D2A"/>
    <w:rsid w:val="0014653E"/>
    <w:rsid w:val="00180519"/>
    <w:rsid w:val="00191C82"/>
    <w:rsid w:val="001C4003"/>
    <w:rsid w:val="001D4DBF"/>
    <w:rsid w:val="001E75CA"/>
    <w:rsid w:val="002265FF"/>
    <w:rsid w:val="00271B56"/>
    <w:rsid w:val="00272E32"/>
    <w:rsid w:val="002C344E"/>
    <w:rsid w:val="002E75E9"/>
    <w:rsid w:val="002F0B1E"/>
    <w:rsid w:val="00307A6A"/>
    <w:rsid w:val="00307C40"/>
    <w:rsid w:val="003144CF"/>
    <w:rsid w:val="00320433"/>
    <w:rsid w:val="003230C7"/>
    <w:rsid w:val="00327E50"/>
    <w:rsid w:val="0033597A"/>
    <w:rsid w:val="00343D89"/>
    <w:rsid w:val="00362612"/>
    <w:rsid w:val="0036743F"/>
    <w:rsid w:val="003715DD"/>
    <w:rsid w:val="003823E0"/>
    <w:rsid w:val="003A4521"/>
    <w:rsid w:val="003D1C8C"/>
    <w:rsid w:val="003E38C7"/>
    <w:rsid w:val="0040096C"/>
    <w:rsid w:val="00414F1F"/>
    <w:rsid w:val="0043125D"/>
    <w:rsid w:val="0043502B"/>
    <w:rsid w:val="004443AC"/>
    <w:rsid w:val="00444B02"/>
    <w:rsid w:val="00451E28"/>
    <w:rsid w:val="00462C62"/>
    <w:rsid w:val="00465D36"/>
    <w:rsid w:val="004C17EE"/>
    <w:rsid w:val="004C4BDF"/>
    <w:rsid w:val="004C773B"/>
    <w:rsid w:val="004D1187"/>
    <w:rsid w:val="004D3AA0"/>
    <w:rsid w:val="004E1987"/>
    <w:rsid w:val="004E2E15"/>
    <w:rsid w:val="004E6E3C"/>
    <w:rsid w:val="00520898"/>
    <w:rsid w:val="00523621"/>
    <w:rsid w:val="00524986"/>
    <w:rsid w:val="005268F6"/>
    <w:rsid w:val="00534284"/>
    <w:rsid w:val="00547DB7"/>
    <w:rsid w:val="00557717"/>
    <w:rsid w:val="00576A86"/>
    <w:rsid w:val="005F4F09"/>
    <w:rsid w:val="00603F73"/>
    <w:rsid w:val="0061431B"/>
    <w:rsid w:val="00616FE1"/>
    <w:rsid w:val="00622BAA"/>
    <w:rsid w:val="006306CF"/>
    <w:rsid w:val="00644E9A"/>
    <w:rsid w:val="00671BD5"/>
    <w:rsid w:val="006805C1"/>
    <w:rsid w:val="00686C21"/>
    <w:rsid w:val="006931C1"/>
    <w:rsid w:val="00694556"/>
    <w:rsid w:val="006C30C5"/>
    <w:rsid w:val="006D3B31"/>
    <w:rsid w:val="006E0D96"/>
    <w:rsid w:val="006E1A53"/>
    <w:rsid w:val="006F56E6"/>
    <w:rsid w:val="00704EDA"/>
    <w:rsid w:val="00721122"/>
    <w:rsid w:val="00734689"/>
    <w:rsid w:val="007351F7"/>
    <w:rsid w:val="00753019"/>
    <w:rsid w:val="00754801"/>
    <w:rsid w:val="00761441"/>
    <w:rsid w:val="00795365"/>
    <w:rsid w:val="0079656F"/>
    <w:rsid w:val="007A351D"/>
    <w:rsid w:val="007B7765"/>
    <w:rsid w:val="007C2453"/>
    <w:rsid w:val="007C5BDD"/>
    <w:rsid w:val="007D45E3"/>
    <w:rsid w:val="007E6115"/>
    <w:rsid w:val="007F4609"/>
    <w:rsid w:val="00805EFF"/>
    <w:rsid w:val="00814468"/>
    <w:rsid w:val="008176A1"/>
    <w:rsid w:val="00820005"/>
    <w:rsid w:val="00844318"/>
    <w:rsid w:val="00860102"/>
    <w:rsid w:val="00863F5D"/>
    <w:rsid w:val="00870890"/>
    <w:rsid w:val="00873602"/>
    <w:rsid w:val="00875D12"/>
    <w:rsid w:val="00876170"/>
    <w:rsid w:val="0088479D"/>
    <w:rsid w:val="00891F42"/>
    <w:rsid w:val="00896889"/>
    <w:rsid w:val="008A6E97"/>
    <w:rsid w:val="008C5714"/>
    <w:rsid w:val="008D10B2"/>
    <w:rsid w:val="00903896"/>
    <w:rsid w:val="00906F3D"/>
    <w:rsid w:val="0094424E"/>
    <w:rsid w:val="00955642"/>
    <w:rsid w:val="009622DF"/>
    <w:rsid w:val="0096493F"/>
    <w:rsid w:val="00967DFF"/>
    <w:rsid w:val="00994341"/>
    <w:rsid w:val="009D1A48"/>
    <w:rsid w:val="009E1CE7"/>
    <w:rsid w:val="009E461A"/>
    <w:rsid w:val="009E4EA5"/>
    <w:rsid w:val="009F164B"/>
    <w:rsid w:val="009F323C"/>
    <w:rsid w:val="00A21B19"/>
    <w:rsid w:val="00A3392B"/>
    <w:rsid w:val="00A46717"/>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5356E"/>
    <w:rsid w:val="00B809AD"/>
    <w:rsid w:val="00B80CBD"/>
    <w:rsid w:val="00B859C5"/>
    <w:rsid w:val="00B86096"/>
    <w:rsid w:val="00B964D9"/>
    <w:rsid w:val="00BA0A7C"/>
    <w:rsid w:val="00BA517C"/>
    <w:rsid w:val="00BB3D05"/>
    <w:rsid w:val="00BB53D3"/>
    <w:rsid w:val="00BB73BE"/>
    <w:rsid w:val="00BC2D89"/>
    <w:rsid w:val="00BD6531"/>
    <w:rsid w:val="00BE05B2"/>
    <w:rsid w:val="00BF1908"/>
    <w:rsid w:val="00C22D93"/>
    <w:rsid w:val="00C23458"/>
    <w:rsid w:val="00C23AC9"/>
    <w:rsid w:val="00C31120"/>
    <w:rsid w:val="00C34482"/>
    <w:rsid w:val="00C43648"/>
    <w:rsid w:val="00C50A9F"/>
    <w:rsid w:val="00C642FA"/>
    <w:rsid w:val="00C770E3"/>
    <w:rsid w:val="00C84831"/>
    <w:rsid w:val="00CC7622"/>
    <w:rsid w:val="00CD608F"/>
    <w:rsid w:val="00CF6BB7"/>
    <w:rsid w:val="00D04AA4"/>
    <w:rsid w:val="00D27982"/>
    <w:rsid w:val="00D33B86"/>
    <w:rsid w:val="00D44968"/>
    <w:rsid w:val="00D53924"/>
    <w:rsid w:val="00D55D0C"/>
    <w:rsid w:val="00D948B6"/>
    <w:rsid w:val="00D96D8C"/>
    <w:rsid w:val="00DA6649"/>
    <w:rsid w:val="00DC1259"/>
    <w:rsid w:val="00DC1BD2"/>
    <w:rsid w:val="00DC2571"/>
    <w:rsid w:val="00DC487C"/>
    <w:rsid w:val="00DD05A8"/>
    <w:rsid w:val="00DD1479"/>
    <w:rsid w:val="00DD4335"/>
    <w:rsid w:val="00DE1E7D"/>
    <w:rsid w:val="00DE6BF6"/>
    <w:rsid w:val="00E00709"/>
    <w:rsid w:val="00E1068A"/>
    <w:rsid w:val="00E236DA"/>
    <w:rsid w:val="00E25884"/>
    <w:rsid w:val="00E25B55"/>
    <w:rsid w:val="00E31C2B"/>
    <w:rsid w:val="00E5426A"/>
    <w:rsid w:val="00E54642"/>
    <w:rsid w:val="00E80CBE"/>
    <w:rsid w:val="00E9269D"/>
    <w:rsid w:val="00E962E3"/>
    <w:rsid w:val="00EB6C79"/>
    <w:rsid w:val="00EC37E9"/>
    <w:rsid w:val="00EF4CB7"/>
    <w:rsid w:val="00F038D8"/>
    <w:rsid w:val="00F06995"/>
    <w:rsid w:val="00F12D66"/>
    <w:rsid w:val="00F13623"/>
    <w:rsid w:val="00F44D1D"/>
    <w:rsid w:val="00F84B6D"/>
    <w:rsid w:val="00F87D79"/>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qFormat/>
    <w:rsid w:val="00F87D79"/>
    <w:pPr>
      <w:ind w:left="720"/>
      <w:contextualSpacing/>
    </w:pPr>
  </w:style>
  <w:style w:type="character" w:customStyle="1" w:styleId="Ruller4">
    <w:name w:val="Ruller4 תו"/>
    <w:link w:val="Ruller40"/>
    <w:locked/>
    <w:rsid w:val="00F87D79"/>
    <w:rPr>
      <w:rFonts w:ascii="Arial TUR" w:hAnsi="Arial TUR" w:cs="FrankRuehl"/>
      <w:spacing w:val="10"/>
      <w:szCs w:val="28"/>
    </w:rPr>
  </w:style>
  <w:style w:type="paragraph" w:customStyle="1" w:styleId="Ruller40">
    <w:name w:val="Ruller4"/>
    <w:basedOn w:val="a"/>
    <w:link w:val="Ruller4"/>
    <w:rsid w:val="00F87D79"/>
    <w:pPr>
      <w:tabs>
        <w:tab w:val="left" w:pos="800"/>
      </w:tabs>
      <w:overflowPunct w:val="0"/>
      <w:autoSpaceDE w:val="0"/>
      <w:autoSpaceDN w:val="0"/>
      <w:adjustRightInd w:val="0"/>
      <w:spacing w:line="360" w:lineRule="auto"/>
      <w:jc w:val="both"/>
    </w:pPr>
    <w:rPr>
      <w:rFonts w:ascii="Arial TUR" w:hAnsi="Arial TUR" w:cs="FrankRuehl"/>
      <w:noProof w:val="0"/>
      <w:spacing w:val="10"/>
      <w:sz w:val="20"/>
      <w:szCs w:val="28"/>
    </w:rPr>
  </w:style>
  <w:style w:type="character" w:styleId="Hyperlink">
    <w:name w:val="Hyperlink"/>
    <w:basedOn w:val="a0"/>
    <w:uiPriority w:val="99"/>
    <w:semiHidden/>
    <w:unhideWhenUsed/>
    <w:rsid w:val="00F87D7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450197463">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jp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nevo.co.il/law/98569" TargetMode="Externa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yperlink" Target="http://www.nevo.co.il/law/98569/24"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3F74F5" w:rsidP="003F74F5">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817811" w:rsidP="00817811">
          <w:pPr>
            <w:pStyle w:val="D290653DA13E4E738B7E725F79D7332918"/>
          </w:pPr>
          <w:r>
            <w:rPr>
              <w:rFonts w:hint="eastAsia"/>
              <w:sz w:val="20"/>
              <w:szCs w:val="20"/>
              <w:rtl/>
            </w:rPr>
            <w:t>מספר</w:t>
          </w:r>
          <w:r>
            <w:rPr>
              <w:sz w:val="20"/>
              <w:szCs w:val="20"/>
              <w:rtl/>
            </w:rPr>
            <w:t xml:space="preserve"> תיק חיצוני</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817811" w:rsidP="00817811">
          <w:pPr>
            <w:pStyle w:val="F5EF4663D5094D57BB3FEC6B89CF5C8E3"/>
          </w:pPr>
          <w:r>
            <w:rPr>
              <w:b/>
              <w:bCs/>
              <w:noProof w:val="0"/>
              <w:sz w:val="26"/>
              <w:szCs w:val="26"/>
              <w:rtl/>
            </w:rPr>
            <w:t>שם תיק ללא שמות חסויים</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817811" w:rsidP="00817811">
          <w:pPr>
            <w:pStyle w:val="7D8E46D2581B4CD9ACC623ACA7D52F753"/>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
      <w:docPartPr>
        <w:name w:val="C3B0FBA23B684176B12DDEEA2C39785F"/>
        <w:category>
          <w:name w:val="כללי"/>
          <w:gallery w:val="placeholder"/>
        </w:category>
        <w:types>
          <w:type w:val="bbPlcHdr"/>
        </w:types>
        <w:behaviors>
          <w:behavior w:val="content"/>
        </w:behaviors>
        <w:guid w:val="{B2AB7A4C-E167-4A48-8910-769B91690B71}"/>
      </w:docPartPr>
      <w:docPartBody>
        <w:p w:rsidR="00CE1DCB" w:rsidRDefault="00817811" w:rsidP="00817811">
          <w:pPr>
            <w:pStyle w:val="C3B0FBA23B684176B12DDEEA2C39785F3"/>
          </w:pPr>
          <w:r>
            <w:rPr>
              <w:rFonts w:ascii="Arial" w:hAnsi="Arial" w:hint="eastAsia"/>
              <w:b/>
              <w:bCs/>
              <w:noProof w:val="0"/>
              <w:sz w:val="26"/>
              <w:szCs w:val="26"/>
              <w:rtl/>
            </w:rPr>
            <w:t>שם</w:t>
          </w:r>
          <w:r>
            <w:rPr>
              <w:rFonts w:ascii="Arial" w:hAnsi="Arial"/>
              <w:b/>
              <w:bCs/>
              <w:noProof w:val="0"/>
              <w:sz w:val="26"/>
              <w:szCs w:val="26"/>
              <w:rtl/>
            </w:rPr>
            <w:t xml:space="preserve">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altName w:val="Arial"/>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2D02C4"/>
    <w:rsid w:val="00336EEB"/>
    <w:rsid w:val="00345C9D"/>
    <w:rsid w:val="003F74F5"/>
    <w:rsid w:val="0048651F"/>
    <w:rsid w:val="005157ED"/>
    <w:rsid w:val="005171E8"/>
    <w:rsid w:val="00556D67"/>
    <w:rsid w:val="00793995"/>
    <w:rsid w:val="007C6F98"/>
    <w:rsid w:val="007E254A"/>
    <w:rsid w:val="00817811"/>
    <w:rsid w:val="00817D51"/>
    <w:rsid w:val="008B4366"/>
    <w:rsid w:val="009133C7"/>
    <w:rsid w:val="009178E4"/>
    <w:rsid w:val="00961B27"/>
    <w:rsid w:val="009A4BEE"/>
    <w:rsid w:val="00A51CA1"/>
    <w:rsid w:val="00AA7CE3"/>
    <w:rsid w:val="00AD53D7"/>
    <w:rsid w:val="00B50DB2"/>
    <w:rsid w:val="00B91FA3"/>
    <w:rsid w:val="00BE6557"/>
    <w:rsid w:val="00C96C06"/>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F74F5"/>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3F74F5"/>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1750</Words>
  <Characters>8750</Characters>
  <Application>Microsoft Office Word</Application>
  <DocSecurity>0</DocSecurity>
  <Lines>72</Lines>
  <Paragraphs>20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10480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2023-08-06T06:49:00Z</dcterms:created>
  <dcterms:modified xsi:type="dcterms:W3CDTF">2023-08-06T06:49:00Z</dcterms:modified>
</cp:coreProperties>
</file>